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46"/>
        <w:gridCol w:w="4516"/>
      </w:tblGrid>
      <w:tr w:rsidR="00F22684" w:rsidRPr="00440706" w:rsidTr="006C243F">
        <w:trPr>
          <w:trHeight w:val="1552"/>
        </w:trPr>
        <w:tc>
          <w:tcPr>
            <w:tcW w:w="4712" w:type="dxa"/>
            <w:hideMark/>
          </w:tcPr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bookmarkStart w:id="0" w:name="_GoBack"/>
            <w:r w:rsidRPr="00440706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706">
              <w:rPr>
                <w:rFonts w:ascii="Arial" w:hAnsi="Arial" w:cs="Arial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706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706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44070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44070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446" w:type="dxa"/>
          </w:tcPr>
          <w:p w:rsidR="00F22684" w:rsidRPr="00440706" w:rsidRDefault="00F22684" w:rsidP="00432D36">
            <w:pPr>
              <w:pStyle w:val="a5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F22684" w:rsidRPr="00440706" w:rsidRDefault="00F22684" w:rsidP="00432D36">
            <w:pPr>
              <w:pStyle w:val="a5"/>
              <w:spacing w:line="256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hideMark/>
          </w:tcPr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44070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44070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440706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40706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440706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440706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40706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440706">
              <w:rPr>
                <w:rFonts w:ascii="Arial" w:hAnsi="Arial" w:cs="Arial"/>
                <w:sz w:val="24"/>
                <w:szCs w:val="24"/>
                <w:lang w:val="tt-RU"/>
              </w:rPr>
              <w:t>ҢА БОРЫНДЫК АВЫЛ ҖИРЛЕГЕ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 w:rsidRPr="00440706">
              <w:rPr>
                <w:rFonts w:ascii="Arial" w:hAnsi="Arial" w:cs="Arial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440706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440706">
              <w:rPr>
                <w:rFonts w:ascii="Arial" w:hAnsi="Arial" w:cs="Arial"/>
                <w:sz w:val="24"/>
                <w:szCs w:val="24"/>
              </w:rPr>
              <w:t>Борындык</w:t>
            </w:r>
            <w:proofErr w:type="spellEnd"/>
            <w:r w:rsidRPr="004407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0706">
              <w:rPr>
                <w:rFonts w:ascii="Arial" w:hAnsi="Arial" w:cs="Arial"/>
                <w:sz w:val="24"/>
                <w:szCs w:val="24"/>
              </w:rPr>
              <w:t>тимер</w:t>
            </w:r>
            <w:proofErr w:type="spellEnd"/>
            <w:r w:rsidRPr="004407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0706">
              <w:rPr>
                <w:rFonts w:ascii="Arial" w:hAnsi="Arial" w:cs="Arial"/>
                <w:sz w:val="24"/>
                <w:szCs w:val="24"/>
              </w:rPr>
              <w:t>юл</w:t>
            </w:r>
            <w:proofErr w:type="spellEnd"/>
            <w:r w:rsidRPr="00440706">
              <w:rPr>
                <w:rFonts w:ascii="Arial" w:hAnsi="Arial" w:cs="Arial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440706">
              <w:rPr>
                <w:rFonts w:ascii="Arial" w:hAnsi="Arial" w:cs="Arial"/>
                <w:sz w:val="24"/>
                <w:szCs w:val="24"/>
              </w:rPr>
              <w:t>поселогы</w:t>
            </w:r>
            <w:proofErr w:type="spellEnd"/>
            <w:r w:rsidRPr="00440706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 xml:space="preserve">,   </w:t>
            </w:r>
            <w:proofErr w:type="gramEnd"/>
            <w:r w:rsidRPr="00440706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 xml:space="preserve">   </w:t>
            </w:r>
            <w:proofErr w:type="spellStart"/>
            <w:r w:rsidRPr="00440706">
              <w:rPr>
                <w:rFonts w:ascii="Arial" w:hAnsi="Arial" w:cs="Arial"/>
                <w:sz w:val="24"/>
                <w:szCs w:val="24"/>
                <w:lang w:eastAsia="ru-RU"/>
              </w:rPr>
              <w:t>Чүпрәле</w:t>
            </w:r>
            <w:proofErr w:type="spellEnd"/>
            <w:r w:rsidRPr="0044070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40706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F22684" w:rsidRPr="00440706" w:rsidTr="006C243F">
        <w:trPr>
          <w:trHeight w:val="156"/>
        </w:trPr>
        <w:tc>
          <w:tcPr>
            <w:tcW w:w="9669" w:type="dxa"/>
            <w:gridSpan w:val="3"/>
            <w:hideMark/>
          </w:tcPr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40706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44070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440706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440706">
              <w:rPr>
                <w:rFonts w:ascii="Arial" w:hAnsi="Arial" w:cs="Arial"/>
                <w:sz w:val="24"/>
                <w:szCs w:val="24"/>
                <w:lang w:val="tt-RU"/>
              </w:rPr>
              <w:t>-mail:</w:t>
            </w:r>
            <w:r w:rsidRPr="0044070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706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40706">
              <w:rPr>
                <w:rFonts w:ascii="Arial" w:hAnsi="Arial" w:cs="Arial"/>
                <w:sz w:val="24"/>
                <w:szCs w:val="24"/>
                <w:lang w:val="tt-RU"/>
              </w:rPr>
              <w:t>.Drz@tatar.ru,</w:t>
            </w:r>
          </w:p>
          <w:p w:rsidR="00F22684" w:rsidRPr="00440706" w:rsidRDefault="00F22684" w:rsidP="00432D36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0706">
              <w:rPr>
                <w:rFonts w:ascii="Arial" w:hAnsi="Arial" w:cs="Arial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440706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40706">
              <w:rPr>
                <w:rFonts w:ascii="Arial" w:hAnsi="Arial" w:cs="Arial"/>
                <w:sz w:val="24"/>
                <w:szCs w:val="24"/>
                <w:lang w:val="tt-RU"/>
              </w:rPr>
              <w:t xml:space="preserve"> -drogganoe.tatarstan.ru </w:t>
            </w:r>
          </w:p>
          <w:p w:rsidR="00F22684" w:rsidRPr="00440706" w:rsidRDefault="008B2CEB" w:rsidP="00F22684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706">
              <w:rPr>
                <w:rFonts w:ascii="Arial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440706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0706">
        <w:rPr>
          <w:rFonts w:ascii="Arial" w:eastAsia="Times New Roman" w:hAnsi="Arial" w:cs="Arial"/>
          <w:sz w:val="24"/>
          <w:szCs w:val="24"/>
          <w:lang w:eastAsia="ru-RU"/>
        </w:rPr>
        <w:t xml:space="preserve">    ПОСТАНОВЛЕНИЕ                                                                        КАРАР</w:t>
      </w:r>
    </w:p>
    <w:p w:rsidR="00F22684" w:rsidRPr="00440706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Arial" w:eastAsia="Lucida Sans Unicode" w:hAnsi="Arial" w:cs="Arial"/>
          <w:color w:val="000000"/>
          <w:sz w:val="24"/>
          <w:szCs w:val="24"/>
          <w:lang w:bidi="en-US"/>
        </w:rPr>
      </w:pPr>
    </w:p>
    <w:p w:rsidR="00833803" w:rsidRPr="00440706" w:rsidRDefault="00910A75" w:rsidP="008338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13.12</w:t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.2022</w:t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="00833803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ab/>
        <w:t xml:space="preserve">       № </w:t>
      </w:r>
      <w:r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1</w:t>
      </w:r>
      <w:r w:rsidR="00403B16" w:rsidRPr="00440706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8</w:t>
      </w:r>
    </w:p>
    <w:p w:rsidR="00544ACD" w:rsidRPr="00440706" w:rsidRDefault="00544ACD" w:rsidP="00544ACD">
      <w:pPr>
        <w:spacing w:after="0"/>
        <w:ind w:right="7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</w:p>
    <w:p w:rsidR="00403B16" w:rsidRPr="00440706" w:rsidRDefault="00403B16" w:rsidP="00910A75">
      <w:pPr>
        <w:shd w:val="clear" w:color="auto" w:fill="FFFFFF"/>
        <w:spacing w:after="0"/>
        <w:ind w:right="-28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бюджеты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исемлегенә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тәртибен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срокларын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раслау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турында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</w:p>
    <w:p w:rsidR="00403B16" w:rsidRPr="00440706" w:rsidRDefault="00403B16" w:rsidP="00910A75">
      <w:pPr>
        <w:shd w:val="clear" w:color="auto" w:fill="FFFFFF"/>
        <w:spacing w:after="0"/>
        <w:ind w:right="-28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</w:p>
    <w:p w:rsidR="00910A75" w:rsidRPr="00440706" w:rsidRDefault="00403B16" w:rsidP="00910A75">
      <w:pPr>
        <w:shd w:val="clear" w:color="auto" w:fill="FFFFFF"/>
        <w:spacing w:after="0"/>
        <w:ind w:right="-28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Россия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Федерациясе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Бюджет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кодексының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160.1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статьясы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Россия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Федерациясе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Хөкүмәтенең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«Россия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Федерациясе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субъектының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дәүләт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хакимияте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органнарына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(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дәүләт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органнарына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),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территориаль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мәҗбүри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медицина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иминияте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фондлары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белән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идарә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органнары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үзидарә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органнары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бюджет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администрациясе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органнары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тарафыннан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беркетүгә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Россия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Федерациясе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субъекты бюджеты,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территориаль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мәҗбүри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медицина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иминияте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фонды бюджеты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исемлеген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раслауга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гомуми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таләпләрне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раслау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турында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» 2021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елның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16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сентябрендәге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1569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номерлы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нигезендә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Татарстан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башкарма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комитеты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бирә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:</w:t>
      </w:r>
    </w:p>
    <w:p w:rsidR="00403B16" w:rsidRPr="00440706" w:rsidRDefault="00403B16" w:rsidP="00403B16">
      <w:pPr>
        <w:pStyle w:val="a3"/>
        <w:numPr>
          <w:ilvl w:val="0"/>
          <w:numId w:val="45"/>
        </w:numPr>
        <w:shd w:val="clear" w:color="auto" w:fill="FFFFFF"/>
        <w:spacing w:after="0"/>
        <w:ind w:left="0" w:right="-28" w:firstLine="709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бюджеты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исемлегенә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тәртибен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срокларын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расларга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. </w:t>
      </w:r>
    </w:p>
    <w:p w:rsidR="00403B16" w:rsidRPr="00440706" w:rsidRDefault="00403B16" w:rsidP="00403B16">
      <w:pPr>
        <w:pStyle w:val="a3"/>
        <w:numPr>
          <w:ilvl w:val="0"/>
          <w:numId w:val="45"/>
        </w:numPr>
        <w:shd w:val="clear" w:color="auto" w:fill="FFFFFF"/>
        <w:spacing w:after="0"/>
        <w:ind w:left="0" w:right="-28" w:firstLine="709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«Татарстан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районы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башкарма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комитетының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«Татарстан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районы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бюджеты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исемлегенә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тәртибен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срокларын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раслау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турында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» 2022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елның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17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мартындагы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5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номерлы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карарын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көчен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югалткан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дип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танырга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. </w:t>
      </w:r>
    </w:p>
    <w:p w:rsidR="00403B16" w:rsidRPr="00440706" w:rsidRDefault="00403B16" w:rsidP="00403B16">
      <w:pPr>
        <w:pStyle w:val="a3"/>
        <w:numPr>
          <w:ilvl w:val="0"/>
          <w:numId w:val="45"/>
        </w:numPr>
        <w:shd w:val="clear" w:color="auto" w:fill="FFFFFF"/>
        <w:spacing w:after="0"/>
        <w:ind w:left="0" w:right="-28" w:firstLine="709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Әлеге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карарны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хокукый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мәгълүматының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рәсми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порталында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бастырып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чыгарырга</w:t>
      </w:r>
      <w:proofErr w:type="spellEnd"/>
      <w:r w:rsidR="0004534C"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. </w:t>
      </w:r>
    </w:p>
    <w:p w:rsidR="00910A75" w:rsidRPr="00440706" w:rsidRDefault="00910A75" w:rsidP="00910A75">
      <w:pPr>
        <w:shd w:val="clear" w:color="auto" w:fill="FFFFFF"/>
        <w:spacing w:after="0"/>
        <w:ind w:right="-28"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077A9A" w:rsidRPr="00440706" w:rsidRDefault="00077A9A" w:rsidP="00077A9A">
      <w:p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73D99" w:rsidRPr="00440706" w:rsidRDefault="00077A9A" w:rsidP="00077A9A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</w:rPr>
        <w:t>башлыгы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</w:t>
      </w:r>
      <w:r w:rsidRPr="00440706">
        <w:rPr>
          <w:rFonts w:ascii="Arial" w:hAnsi="Arial" w:cs="Arial"/>
          <w:color w:val="000000" w:themeColor="text1"/>
          <w:sz w:val="24"/>
          <w:szCs w:val="24"/>
        </w:rPr>
        <w:tab/>
      </w:r>
      <w:r w:rsidRPr="00440706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440706">
        <w:rPr>
          <w:rFonts w:ascii="Arial" w:hAnsi="Arial" w:cs="Arial"/>
          <w:color w:val="000000" w:themeColor="text1"/>
          <w:sz w:val="24"/>
          <w:szCs w:val="24"/>
        </w:rPr>
        <w:tab/>
        <w:t xml:space="preserve">  </w:t>
      </w:r>
      <w:r w:rsidR="004B2035" w:rsidRPr="00440706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End"/>
      <w:r w:rsidRPr="00440706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0F7C3E" w:rsidRPr="00440706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1C6CF0" w:rsidRPr="00440706">
        <w:rPr>
          <w:rFonts w:ascii="Arial" w:hAnsi="Arial" w:cs="Arial"/>
          <w:color w:val="000000" w:themeColor="text1"/>
          <w:sz w:val="24"/>
          <w:szCs w:val="24"/>
        </w:rPr>
        <w:t>В.Г.</w:t>
      </w:r>
      <w:r w:rsidRPr="00440706">
        <w:rPr>
          <w:rFonts w:ascii="Arial" w:hAnsi="Arial" w:cs="Arial"/>
          <w:color w:val="000000" w:themeColor="text1"/>
          <w:sz w:val="24"/>
          <w:szCs w:val="24"/>
        </w:rPr>
        <w:t xml:space="preserve"> Ранцев</w:t>
      </w:r>
    </w:p>
    <w:p w:rsidR="009A7FF0" w:rsidRPr="00440706" w:rsidRDefault="009A7FF0" w:rsidP="00077A9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A7FF0" w:rsidRPr="00440706" w:rsidRDefault="009A7FF0" w:rsidP="00077A9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C3C60" w:rsidRPr="00440706" w:rsidRDefault="007C3C60" w:rsidP="007C3C60">
      <w:pPr>
        <w:ind w:left="5103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</w:p>
    <w:p w:rsidR="009A7FF0" w:rsidRPr="00440706" w:rsidRDefault="009A7FF0" w:rsidP="007C3C60">
      <w:pPr>
        <w:ind w:left="5103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lastRenderedPageBreak/>
        <w:t>Расланган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башкарма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комитеты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белән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13.12.2022 № 18</w:t>
      </w:r>
    </w:p>
    <w:p w:rsidR="009A7FF0" w:rsidRPr="00440706" w:rsidRDefault="009A7FF0" w:rsidP="009A7FF0">
      <w:pPr>
        <w:ind w:left="-142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бюджетының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 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исемлегенә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тәртибе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сроклары</w:t>
      </w:r>
      <w:proofErr w:type="spellEnd"/>
    </w:p>
    <w:p w:rsidR="009A7FF0" w:rsidRPr="00440706" w:rsidRDefault="009A7FF0" w:rsidP="009A7FF0">
      <w:pPr>
        <w:pStyle w:val="a3"/>
        <w:numPr>
          <w:ilvl w:val="0"/>
          <w:numId w:val="46"/>
        </w:numPr>
        <w:ind w:left="-142" w:firstLine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Әлеге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Тәртип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Россия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Федерациясе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Хөкүмәтенең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«Россия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Федерациясе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субъектының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дәүләт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хакимияте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органнарына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(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дәүләт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органнарына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),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территориаль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мәҗбүри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медицина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иминияте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фондларына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идарә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органнарына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үзидарә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органнарына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бюджет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администраторы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вәкаләтләрен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беркетүгә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Россия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Федерациясе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субъекты бюджеты,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территориаль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мәҗбүри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медицина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иминияте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фонды бюджеты,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бюджет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исемлеген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раслауга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карата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гомуми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таләпләрне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раслау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турында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» 2021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елның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16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сентябрендәге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1569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номерлы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нигезендә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эшләнгән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районы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бюджеты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төп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исемлегенә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тәртибен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срокларын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(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алга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таба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-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төп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администратор, баш администратор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исемлеген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)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билгели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).</w:t>
      </w:r>
    </w:p>
    <w:p w:rsidR="009A7FF0" w:rsidRPr="00440706" w:rsidRDefault="009A7FF0" w:rsidP="009A7FF0">
      <w:pPr>
        <w:pStyle w:val="a3"/>
        <w:numPr>
          <w:ilvl w:val="0"/>
          <w:numId w:val="46"/>
        </w:numPr>
        <w:ind w:left="-142" w:firstLine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Исемлеккә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түбәндәге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очракларда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кертелергә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мөмкин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: - 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районы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бюджеты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составын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(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яисә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)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вәкаләтләрен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үзгәртү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; - 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районы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бюджет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классификациясе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кодын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(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яисә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)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кодын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(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төренең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кодын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)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үзгәртү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. </w:t>
      </w:r>
    </w:p>
    <w:p w:rsidR="009A7FF0" w:rsidRPr="00440706" w:rsidRDefault="009A7FF0" w:rsidP="009A7FF0">
      <w:pPr>
        <w:pStyle w:val="a3"/>
        <w:numPr>
          <w:ilvl w:val="0"/>
          <w:numId w:val="46"/>
        </w:numPr>
        <w:ind w:left="-142" w:firstLine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Исемлеккә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тәкъдимнәре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нигезендә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районы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Яңа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Борындык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авыл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җирлеге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башкарма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комитеты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карарына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кертмичә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Финанс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-бюджет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палатасы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рәисе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боерыгы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белән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гамәлгә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ашырыла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.</w:t>
      </w:r>
    </w:p>
    <w:p w:rsidR="009A7FF0" w:rsidRPr="00440706" w:rsidRDefault="009A7FF0" w:rsidP="009A7FF0">
      <w:pPr>
        <w:pStyle w:val="a3"/>
        <w:numPr>
          <w:ilvl w:val="0"/>
          <w:numId w:val="46"/>
        </w:numPr>
        <w:ind w:left="-142" w:firstLine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администраторлары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Печенгә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кирәк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булган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очракта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алар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барлыкка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килгән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көннән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алып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5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көннән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дә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соңга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калмыйча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Финанс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-бюджет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палатасына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түбәндәге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мәгълүматны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күрсәтеп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тиешле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тәкъдимнәр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кертәләр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: -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Исемлеккә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өчен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нигез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; -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коды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; -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төренең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(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подвиданың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) коды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коды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. </w:t>
      </w:r>
    </w:p>
    <w:p w:rsidR="009A7FF0" w:rsidRPr="00440706" w:rsidRDefault="009A7FF0" w:rsidP="009A7FF0">
      <w:pPr>
        <w:pStyle w:val="a3"/>
        <w:numPr>
          <w:ilvl w:val="0"/>
          <w:numId w:val="46"/>
        </w:numPr>
        <w:ind w:left="-142" w:firstLine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Татарстан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Республикасы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Чүпрәле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муниципаль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районының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финанс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-бюджет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палатасы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:</w:t>
      </w:r>
    </w:p>
    <w:p w:rsidR="009A7FF0" w:rsidRPr="00440706" w:rsidRDefault="009A7FF0" w:rsidP="009A7FF0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-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мәгълүмат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кергән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датадан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соң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килүче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3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эш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көне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дәвамында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аны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әлеге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Тәртипнең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2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һәм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4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пунктларында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билгеләнгән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таләпләргә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туры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килүенә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карый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; </w:t>
      </w:r>
    </w:p>
    <w:p w:rsidR="009A7FF0" w:rsidRPr="00440706" w:rsidRDefault="009A7FF0" w:rsidP="009A7FF0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-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кисәтүләр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булмаган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очракта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мәгълүмат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кергән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көннән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соң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килүче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5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эш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көненнән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дә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соңга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калмыйча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исемлеккә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; </w:t>
      </w:r>
    </w:p>
    <w:p w:rsidR="009A7FF0" w:rsidRPr="00440706" w:rsidRDefault="009A7FF0" w:rsidP="009A7FF0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</w:pPr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-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кисәтүләр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булган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очракта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керемнәрнең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администраторына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тарту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өчен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нигез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булып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торган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сәбәпләрне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күрсәтеп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,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исемлеккә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үзгәрешләр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кертүдән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баш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тарту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турында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язма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рәвештә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хәбәр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 xml:space="preserve"> </w:t>
      </w:r>
      <w:proofErr w:type="spellStart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итә</w:t>
      </w:r>
      <w:proofErr w:type="spellEnd"/>
      <w:r w:rsidRPr="00440706">
        <w:rPr>
          <w:rFonts w:ascii="Arial" w:hAnsi="Arial" w:cs="Arial"/>
          <w:color w:val="000000" w:themeColor="text1"/>
          <w:sz w:val="24"/>
          <w:szCs w:val="24"/>
          <w:shd w:val="clear" w:color="auto" w:fill="F7F8F9"/>
        </w:rPr>
        <w:t>.</w:t>
      </w:r>
    </w:p>
    <w:bookmarkEnd w:id="0"/>
    <w:p w:rsidR="009A7FF0" w:rsidRPr="00440706" w:rsidRDefault="009A7FF0" w:rsidP="009A7FF0">
      <w:pPr>
        <w:rPr>
          <w:rFonts w:ascii="Arial" w:hAnsi="Arial" w:cs="Arial"/>
          <w:sz w:val="24"/>
          <w:szCs w:val="24"/>
        </w:rPr>
      </w:pPr>
    </w:p>
    <w:sectPr w:rsidR="009A7FF0" w:rsidRPr="00440706" w:rsidSect="007C3C60">
      <w:headerReference w:type="even" r:id="rId7"/>
      <w:headerReference w:type="default" r:id="rId8"/>
      <w:headerReference w:type="first" r:id="rId9"/>
      <w:pgSz w:w="11906" w:h="16841"/>
      <w:pgMar w:top="553" w:right="701" w:bottom="142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EB" w:rsidRDefault="008B2CEB" w:rsidP="00F73D99">
      <w:pPr>
        <w:spacing w:after="0" w:line="240" w:lineRule="auto"/>
      </w:pPr>
      <w:r>
        <w:separator/>
      </w:r>
    </w:p>
  </w:endnote>
  <w:endnote w:type="continuationSeparator" w:id="0">
    <w:p w:rsidR="008B2CEB" w:rsidRDefault="008B2CEB" w:rsidP="00F7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EB" w:rsidRDefault="008B2CEB" w:rsidP="00F73D99">
      <w:pPr>
        <w:spacing w:after="0" w:line="240" w:lineRule="auto"/>
      </w:pPr>
      <w:r>
        <w:separator/>
      </w:r>
    </w:p>
  </w:footnote>
  <w:footnote w:type="continuationSeparator" w:id="0">
    <w:p w:rsidR="008B2CEB" w:rsidRDefault="008B2CEB" w:rsidP="00F7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8B2CEB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61564"/>
      <w:docPartObj>
        <w:docPartGallery w:val="Page Numbers (Top of Page)"/>
        <w:docPartUnique/>
      </w:docPartObj>
    </w:sdtPr>
    <w:sdtEndPr/>
    <w:sdtContent>
      <w:p w:rsidR="0014308C" w:rsidRDefault="00F73D99" w:rsidP="00902B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70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8B2CE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741B9"/>
    <w:multiLevelType w:val="hybridMultilevel"/>
    <w:tmpl w:val="21FACD9E"/>
    <w:lvl w:ilvl="0" w:tplc="DA4AC8A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0C3E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94FD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E871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AAEF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6B8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84C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E30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45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56A6F"/>
    <w:multiLevelType w:val="hybridMultilevel"/>
    <w:tmpl w:val="5A5CF6D0"/>
    <w:lvl w:ilvl="0" w:tplc="64C09D0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0745"/>
    <w:multiLevelType w:val="multilevel"/>
    <w:tmpl w:val="2BA01F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F3A48"/>
    <w:multiLevelType w:val="hybridMultilevel"/>
    <w:tmpl w:val="3384AF92"/>
    <w:lvl w:ilvl="0" w:tplc="FEBC35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40B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A8E7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095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E55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63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86B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080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2663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371450"/>
    <w:multiLevelType w:val="hybridMultilevel"/>
    <w:tmpl w:val="D1E4A5AC"/>
    <w:lvl w:ilvl="0" w:tplc="4376647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B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2E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FC1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AC0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E89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82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6A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6A7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F15BE"/>
    <w:multiLevelType w:val="hybridMultilevel"/>
    <w:tmpl w:val="9008F2B4"/>
    <w:lvl w:ilvl="0" w:tplc="769821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269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8EE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6E1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E31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21F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A6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028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A0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0E7D3F"/>
    <w:multiLevelType w:val="hybridMultilevel"/>
    <w:tmpl w:val="404C0C12"/>
    <w:lvl w:ilvl="0" w:tplc="62EC87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16AB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20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27F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6E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DA36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04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0C0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253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6003E9"/>
    <w:multiLevelType w:val="multilevel"/>
    <w:tmpl w:val="4B5C803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3A014D"/>
    <w:multiLevelType w:val="hybridMultilevel"/>
    <w:tmpl w:val="38A8DED4"/>
    <w:lvl w:ilvl="0" w:tplc="FDBCB50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E48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A35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CA9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2D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C4CC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C6E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659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A62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D7105F"/>
    <w:multiLevelType w:val="hybridMultilevel"/>
    <w:tmpl w:val="5DDACC72"/>
    <w:lvl w:ilvl="0" w:tplc="BB66A9A2">
      <w:start w:val="4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0B0B2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A97E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CC95C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81A2C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AFDC4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A7BF8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C07E4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2F5FC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86244F"/>
    <w:multiLevelType w:val="hybridMultilevel"/>
    <w:tmpl w:val="26944B4E"/>
    <w:lvl w:ilvl="0" w:tplc="418045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AB8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848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A1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AA4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AE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C8F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783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CFE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897C20"/>
    <w:multiLevelType w:val="multilevel"/>
    <w:tmpl w:val="5E880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B84B57"/>
    <w:multiLevelType w:val="hybridMultilevel"/>
    <w:tmpl w:val="03DE93F4"/>
    <w:lvl w:ilvl="0" w:tplc="672A4002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EB2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487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66C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28C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A92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28B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3CB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E0F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DE7D02"/>
    <w:multiLevelType w:val="hybridMultilevel"/>
    <w:tmpl w:val="24A41F08"/>
    <w:lvl w:ilvl="0" w:tplc="FBF6AB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463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1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0F4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42E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AE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64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8A06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C8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E612CD"/>
    <w:multiLevelType w:val="multilevel"/>
    <w:tmpl w:val="5C6E634C"/>
    <w:lvl w:ilvl="0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94"/>
    <w:multiLevelType w:val="multilevel"/>
    <w:tmpl w:val="AFBC40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A7848"/>
    <w:multiLevelType w:val="multilevel"/>
    <w:tmpl w:val="5F7474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0D3435"/>
    <w:multiLevelType w:val="multilevel"/>
    <w:tmpl w:val="02061D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C82EB7"/>
    <w:multiLevelType w:val="hybridMultilevel"/>
    <w:tmpl w:val="D6A8935E"/>
    <w:lvl w:ilvl="0" w:tplc="078E52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A62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18AA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2E0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C3B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AC9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A9B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0D0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BE31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FD084D"/>
    <w:multiLevelType w:val="hybridMultilevel"/>
    <w:tmpl w:val="22C06BAC"/>
    <w:lvl w:ilvl="0" w:tplc="0AA00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EA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001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62EC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8B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1825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65D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A8F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832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A3187F"/>
    <w:multiLevelType w:val="multilevel"/>
    <w:tmpl w:val="FCCA8C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C2240B"/>
    <w:multiLevelType w:val="multilevel"/>
    <w:tmpl w:val="04E2C0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F101CD"/>
    <w:multiLevelType w:val="hybridMultilevel"/>
    <w:tmpl w:val="9B36FF46"/>
    <w:lvl w:ilvl="0" w:tplc="BEE8773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5662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2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C53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1CD6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ADA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169A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546C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280F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245BCD"/>
    <w:multiLevelType w:val="hybridMultilevel"/>
    <w:tmpl w:val="00AC2734"/>
    <w:lvl w:ilvl="0" w:tplc="3DDC76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CA9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4A1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4A4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EA5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969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04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E0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903704"/>
    <w:multiLevelType w:val="hybridMultilevel"/>
    <w:tmpl w:val="AA9E1AB6"/>
    <w:lvl w:ilvl="0" w:tplc="0E52BE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B4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6072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E29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69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A218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69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2C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31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285B18"/>
    <w:multiLevelType w:val="hybridMultilevel"/>
    <w:tmpl w:val="FD00997A"/>
    <w:lvl w:ilvl="0" w:tplc="766C9B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8A8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5EF8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D29F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804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AE1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2E4C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40D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A95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045973"/>
    <w:multiLevelType w:val="hybridMultilevel"/>
    <w:tmpl w:val="495E033C"/>
    <w:lvl w:ilvl="0" w:tplc="45F89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AE3D60"/>
    <w:multiLevelType w:val="hybridMultilevel"/>
    <w:tmpl w:val="87F65DD8"/>
    <w:lvl w:ilvl="0" w:tplc="8C4A656C">
      <w:start w:val="5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4456E">
      <w:start w:val="1"/>
      <w:numFmt w:val="lowerLetter"/>
      <w:lvlText w:val="%2"/>
      <w:lvlJc w:val="left"/>
      <w:pPr>
        <w:ind w:left="2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8DB74">
      <w:start w:val="1"/>
      <w:numFmt w:val="lowerRoman"/>
      <w:lvlText w:val="%3"/>
      <w:lvlJc w:val="left"/>
      <w:pPr>
        <w:ind w:left="3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64B84">
      <w:start w:val="1"/>
      <w:numFmt w:val="decimal"/>
      <w:lvlText w:val="%4"/>
      <w:lvlJc w:val="left"/>
      <w:pPr>
        <w:ind w:left="3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241CA">
      <w:start w:val="1"/>
      <w:numFmt w:val="lowerLetter"/>
      <w:lvlText w:val="%5"/>
      <w:lvlJc w:val="left"/>
      <w:pPr>
        <w:ind w:left="4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9C71D2">
      <w:start w:val="1"/>
      <w:numFmt w:val="lowerRoman"/>
      <w:lvlText w:val="%6"/>
      <w:lvlJc w:val="left"/>
      <w:pPr>
        <w:ind w:left="5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85D36">
      <w:start w:val="1"/>
      <w:numFmt w:val="decimal"/>
      <w:lvlText w:val="%7"/>
      <w:lvlJc w:val="left"/>
      <w:pPr>
        <w:ind w:left="6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A4C3C">
      <w:start w:val="1"/>
      <w:numFmt w:val="lowerLetter"/>
      <w:lvlText w:val="%8"/>
      <w:lvlJc w:val="left"/>
      <w:pPr>
        <w:ind w:left="6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E44B2">
      <w:start w:val="1"/>
      <w:numFmt w:val="lowerRoman"/>
      <w:lvlText w:val="%9"/>
      <w:lvlJc w:val="left"/>
      <w:pPr>
        <w:ind w:left="7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0C0BE0"/>
    <w:multiLevelType w:val="hybridMultilevel"/>
    <w:tmpl w:val="8288F974"/>
    <w:lvl w:ilvl="0" w:tplc="5DBEDAEC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D494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C43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A02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86D0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2F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008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20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6CC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364BA9"/>
    <w:multiLevelType w:val="multilevel"/>
    <w:tmpl w:val="B1965C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B7D90"/>
    <w:multiLevelType w:val="hybridMultilevel"/>
    <w:tmpl w:val="012E93EE"/>
    <w:lvl w:ilvl="0" w:tplc="3FEED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582F"/>
    <w:multiLevelType w:val="hybridMultilevel"/>
    <w:tmpl w:val="C73C03AC"/>
    <w:lvl w:ilvl="0" w:tplc="745C616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BD2380"/>
    <w:multiLevelType w:val="hybridMultilevel"/>
    <w:tmpl w:val="41F6C62A"/>
    <w:lvl w:ilvl="0" w:tplc="DBA602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6B1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02E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87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86B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4C2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8DF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0CC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E8E1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7865C0"/>
    <w:multiLevelType w:val="hybridMultilevel"/>
    <w:tmpl w:val="75CA662E"/>
    <w:lvl w:ilvl="0" w:tplc="89D052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08D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0F1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C5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05F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2F1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01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AE3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1A0A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E239C9"/>
    <w:multiLevelType w:val="hybridMultilevel"/>
    <w:tmpl w:val="CFEC2720"/>
    <w:lvl w:ilvl="0" w:tplc="2DD497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0A1025"/>
    <w:multiLevelType w:val="multilevel"/>
    <w:tmpl w:val="33B4FC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0247272"/>
    <w:multiLevelType w:val="multilevel"/>
    <w:tmpl w:val="9294D0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EF1DAD"/>
    <w:multiLevelType w:val="hybridMultilevel"/>
    <w:tmpl w:val="76E6C30C"/>
    <w:lvl w:ilvl="0" w:tplc="54301E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63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F25B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E7A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7454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4E3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629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C28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E88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160DB0"/>
    <w:multiLevelType w:val="hybridMultilevel"/>
    <w:tmpl w:val="72F20B4E"/>
    <w:lvl w:ilvl="0" w:tplc="19BA403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2A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623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0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055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3E76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6E9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0290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4B4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237FB1"/>
    <w:multiLevelType w:val="hybridMultilevel"/>
    <w:tmpl w:val="FB849ADC"/>
    <w:lvl w:ilvl="0" w:tplc="7976FF5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248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8045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0AE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E05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AEF5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AE1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0FE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274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0E2DD4"/>
    <w:multiLevelType w:val="multilevel"/>
    <w:tmpl w:val="96B65F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B671C2"/>
    <w:multiLevelType w:val="hybridMultilevel"/>
    <w:tmpl w:val="DDFCBF14"/>
    <w:lvl w:ilvl="0" w:tplc="1C625BCE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202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07D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27A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A97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46C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209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A38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0DF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B10726"/>
    <w:multiLevelType w:val="hybridMultilevel"/>
    <w:tmpl w:val="4790C578"/>
    <w:lvl w:ilvl="0" w:tplc="22DEF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7"/>
  </w:num>
  <w:num w:numId="2">
    <w:abstractNumId w:val="16"/>
  </w:num>
  <w:num w:numId="3">
    <w:abstractNumId w:val="0"/>
  </w:num>
  <w:num w:numId="4">
    <w:abstractNumId w:val="15"/>
  </w:num>
  <w:num w:numId="5">
    <w:abstractNumId w:val="9"/>
  </w:num>
  <w:num w:numId="6">
    <w:abstractNumId w:val="35"/>
  </w:num>
  <w:num w:numId="7">
    <w:abstractNumId w:val="6"/>
  </w:num>
  <w:num w:numId="8">
    <w:abstractNumId w:val="19"/>
  </w:num>
  <w:num w:numId="9">
    <w:abstractNumId w:val="41"/>
  </w:num>
  <w:num w:numId="10">
    <w:abstractNumId w:val="11"/>
  </w:num>
  <w:num w:numId="11">
    <w:abstractNumId w:val="27"/>
  </w:num>
  <w:num w:numId="12">
    <w:abstractNumId w:val="34"/>
  </w:num>
  <w:num w:numId="13">
    <w:abstractNumId w:val="7"/>
  </w:num>
  <w:num w:numId="14">
    <w:abstractNumId w:val="13"/>
  </w:num>
  <w:num w:numId="15">
    <w:abstractNumId w:val="3"/>
  </w:num>
  <w:num w:numId="16">
    <w:abstractNumId w:val="14"/>
  </w:num>
  <w:num w:numId="17">
    <w:abstractNumId w:val="22"/>
  </w:num>
  <w:num w:numId="18">
    <w:abstractNumId w:val="43"/>
  </w:num>
  <w:num w:numId="19">
    <w:abstractNumId w:val="17"/>
  </w:num>
  <w:num w:numId="20">
    <w:abstractNumId w:val="12"/>
  </w:num>
  <w:num w:numId="21">
    <w:abstractNumId w:val="1"/>
  </w:num>
  <w:num w:numId="22">
    <w:abstractNumId w:val="39"/>
  </w:num>
  <w:num w:numId="23">
    <w:abstractNumId w:val="42"/>
  </w:num>
  <w:num w:numId="24">
    <w:abstractNumId w:val="4"/>
  </w:num>
  <w:num w:numId="25">
    <w:abstractNumId w:val="21"/>
  </w:num>
  <w:num w:numId="26">
    <w:abstractNumId w:val="25"/>
  </w:num>
  <w:num w:numId="27">
    <w:abstractNumId w:val="31"/>
  </w:num>
  <w:num w:numId="28">
    <w:abstractNumId w:val="23"/>
  </w:num>
  <w:num w:numId="29">
    <w:abstractNumId w:val="10"/>
  </w:num>
  <w:num w:numId="30">
    <w:abstractNumId w:val="20"/>
  </w:num>
  <w:num w:numId="31">
    <w:abstractNumId w:val="24"/>
  </w:num>
  <w:num w:numId="32">
    <w:abstractNumId w:val="29"/>
  </w:num>
  <w:num w:numId="33">
    <w:abstractNumId w:val="40"/>
  </w:num>
  <w:num w:numId="34">
    <w:abstractNumId w:val="44"/>
  </w:num>
  <w:num w:numId="35">
    <w:abstractNumId w:val="8"/>
  </w:num>
  <w:num w:numId="36">
    <w:abstractNumId w:val="26"/>
  </w:num>
  <w:num w:numId="37">
    <w:abstractNumId w:val="38"/>
  </w:num>
  <w:num w:numId="38">
    <w:abstractNumId w:val="30"/>
  </w:num>
  <w:num w:numId="39">
    <w:abstractNumId w:val="18"/>
  </w:num>
  <w:num w:numId="40">
    <w:abstractNumId w:val="5"/>
  </w:num>
  <w:num w:numId="41">
    <w:abstractNumId w:val="32"/>
  </w:num>
  <w:num w:numId="42">
    <w:abstractNumId w:val="33"/>
  </w:num>
  <w:num w:numId="43">
    <w:abstractNumId w:val="28"/>
  </w:num>
  <w:num w:numId="44">
    <w:abstractNumId w:val="2"/>
  </w:num>
  <w:num w:numId="45">
    <w:abstractNumId w:val="4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4534C"/>
    <w:rsid w:val="00077A9A"/>
    <w:rsid w:val="000B2213"/>
    <w:rsid w:val="000E3BFA"/>
    <w:rsid w:val="000F7C3E"/>
    <w:rsid w:val="001070D7"/>
    <w:rsid w:val="00130F3A"/>
    <w:rsid w:val="00151C14"/>
    <w:rsid w:val="001538B6"/>
    <w:rsid w:val="00162094"/>
    <w:rsid w:val="001913A0"/>
    <w:rsid w:val="001B22EA"/>
    <w:rsid w:val="001B2C67"/>
    <w:rsid w:val="001C6CF0"/>
    <w:rsid w:val="001E7CF1"/>
    <w:rsid w:val="00240A3E"/>
    <w:rsid w:val="00256F20"/>
    <w:rsid w:val="002F50FA"/>
    <w:rsid w:val="00377C32"/>
    <w:rsid w:val="003A614E"/>
    <w:rsid w:val="00403B16"/>
    <w:rsid w:val="004057F7"/>
    <w:rsid w:val="00424F68"/>
    <w:rsid w:val="00440706"/>
    <w:rsid w:val="00457DEA"/>
    <w:rsid w:val="004B2035"/>
    <w:rsid w:val="00526A7F"/>
    <w:rsid w:val="00537D85"/>
    <w:rsid w:val="00544ACD"/>
    <w:rsid w:val="00557D89"/>
    <w:rsid w:val="00632180"/>
    <w:rsid w:val="006C243F"/>
    <w:rsid w:val="00724305"/>
    <w:rsid w:val="0073396C"/>
    <w:rsid w:val="00734DCF"/>
    <w:rsid w:val="0078639E"/>
    <w:rsid w:val="007C3C60"/>
    <w:rsid w:val="007F6988"/>
    <w:rsid w:val="00807002"/>
    <w:rsid w:val="00833803"/>
    <w:rsid w:val="00866E2E"/>
    <w:rsid w:val="008B2CEB"/>
    <w:rsid w:val="008C464E"/>
    <w:rsid w:val="00902B28"/>
    <w:rsid w:val="00910A75"/>
    <w:rsid w:val="00915BDA"/>
    <w:rsid w:val="00966E7C"/>
    <w:rsid w:val="009950C6"/>
    <w:rsid w:val="009A7FF0"/>
    <w:rsid w:val="009E005F"/>
    <w:rsid w:val="00A470DA"/>
    <w:rsid w:val="00AD3CCC"/>
    <w:rsid w:val="00B47F82"/>
    <w:rsid w:val="00BB7EE7"/>
    <w:rsid w:val="00C559B5"/>
    <w:rsid w:val="00CC31D2"/>
    <w:rsid w:val="00CD41FF"/>
    <w:rsid w:val="00D20848"/>
    <w:rsid w:val="00D33D1E"/>
    <w:rsid w:val="00D82096"/>
    <w:rsid w:val="00DA2932"/>
    <w:rsid w:val="00DE4754"/>
    <w:rsid w:val="00ED4647"/>
    <w:rsid w:val="00F040BF"/>
    <w:rsid w:val="00F22684"/>
    <w:rsid w:val="00F238BB"/>
    <w:rsid w:val="00F73D99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E7C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D99"/>
  </w:style>
  <w:style w:type="paragraph" w:styleId="aa">
    <w:name w:val="header"/>
    <w:basedOn w:val="a"/>
    <w:link w:val="ab"/>
    <w:uiPriority w:val="99"/>
    <w:unhideWhenUsed/>
    <w:rsid w:val="00F73D9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73D9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cp:lastPrinted>2022-08-25T06:15:00Z</cp:lastPrinted>
  <dcterms:created xsi:type="dcterms:W3CDTF">2020-01-31T07:00:00Z</dcterms:created>
  <dcterms:modified xsi:type="dcterms:W3CDTF">2022-12-14T07:08:00Z</dcterms:modified>
</cp:coreProperties>
</file>