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5E2F89"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A256AC"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B44521">
        <w:rPr>
          <w:rFonts w:ascii="Times New Roman" w:hAnsi="Times New Roman" w:cs="Times New Roman"/>
          <w:sz w:val="28"/>
          <w:szCs w:val="28"/>
        </w:rPr>
        <w:t>17.11</w:t>
      </w:r>
      <w:r w:rsidR="00E66B83">
        <w:rPr>
          <w:rFonts w:ascii="Times New Roman" w:hAnsi="Times New Roman" w:cs="Times New Roman"/>
          <w:sz w:val="28"/>
          <w:szCs w:val="28"/>
          <w:lang w:val="tt-RU"/>
        </w:rPr>
        <w:t>.2020</w:t>
      </w:r>
      <w:r w:rsidR="00AE7E73" w:rsidRPr="00933639">
        <w:rPr>
          <w:rFonts w:ascii="Times New Roman" w:hAnsi="Times New Roman" w:cs="Times New Roman"/>
          <w:sz w:val="28"/>
          <w:szCs w:val="28"/>
          <w:lang w:val="tt-RU"/>
        </w:rPr>
        <w:tab/>
      </w:r>
      <w:r w:rsidR="00AE7E73"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AE7E73" w:rsidRPr="00933639">
        <w:rPr>
          <w:rFonts w:ascii="Times New Roman" w:hAnsi="Times New Roman" w:cs="Times New Roman"/>
          <w:sz w:val="28"/>
          <w:szCs w:val="28"/>
          <w:lang w:val="tt-RU"/>
        </w:rPr>
        <w:t>№</w:t>
      </w:r>
      <w:r w:rsidR="00BC2132">
        <w:rPr>
          <w:rFonts w:ascii="Times New Roman" w:hAnsi="Times New Roman" w:cs="Times New Roman"/>
          <w:sz w:val="28"/>
          <w:szCs w:val="28"/>
          <w:lang w:val="tt-RU"/>
        </w:rPr>
        <w:t>1</w:t>
      </w:r>
      <w:r w:rsidR="00B44521">
        <w:rPr>
          <w:rFonts w:ascii="Times New Roman" w:hAnsi="Times New Roman" w:cs="Times New Roman"/>
          <w:sz w:val="28"/>
          <w:szCs w:val="28"/>
          <w:lang w:val="tt-RU"/>
        </w:rPr>
        <w:t>4</w:t>
      </w:r>
    </w:p>
    <w:p w:rsidR="00F60009" w:rsidRPr="005C1AFB"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BC2132" w:rsidRPr="005C1AFB" w:rsidRDefault="00B44521" w:rsidP="00B44521">
      <w:pPr>
        <w:shd w:val="clear" w:color="auto" w:fill="FFFFFF"/>
        <w:spacing w:after="0"/>
        <w:ind w:right="4535"/>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Татарстан Республикасы Чүпрәле муниципаль районының Яңа Борындык авыл җирлеге ягыннан капитал салуларны яклау һәм бүләкләү турында килешүләр төзү тәртибе һәм шартлары турында нигезләмәне раслау хакында</w:t>
      </w:r>
    </w:p>
    <w:p w:rsidR="00B44521" w:rsidRPr="005C1AFB" w:rsidRDefault="00B44521" w:rsidP="00B41B0D">
      <w:pPr>
        <w:shd w:val="clear" w:color="auto" w:fill="FFFFFF"/>
        <w:spacing w:after="0"/>
        <w:ind w:right="-28"/>
        <w:jc w:val="both"/>
        <w:outlineLvl w:val="0"/>
        <w:rPr>
          <w:rFonts w:ascii="Times New Roman" w:hAnsi="Times New Roman" w:cs="Times New Roman"/>
          <w:sz w:val="28"/>
          <w:szCs w:val="28"/>
          <w:shd w:val="clear" w:color="auto" w:fill="F7F8F9"/>
        </w:rPr>
      </w:pPr>
    </w:p>
    <w:p w:rsidR="00B44521" w:rsidRPr="005C1AFB" w:rsidRDefault="00B44521" w:rsidP="00B44521">
      <w:pPr>
        <w:shd w:val="clear" w:color="auto" w:fill="FFFFFF"/>
        <w:spacing w:after="0"/>
        <w:ind w:right="-28" w:firstLine="360"/>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«Россия Федерациясендә капитал салуларны яклау һәм бүләкләү турында» 2020 елның 1 апрелендәге 69-ФЗ номерлы Федераль закон нигезендә, Татарстан Республикасы Чүпрәле муниципаль районының Яңа Борындык авыл җирлеге Уставына, Татарстан Республикасы Чүпрәле муниципаль районының Яңа Борындык авыл җирлеге башкарма комитетына таянып, карар бирә:</w:t>
      </w:r>
    </w:p>
    <w:p w:rsidR="00B44521" w:rsidRPr="005C1AFB" w:rsidRDefault="00B44521" w:rsidP="00B44521">
      <w:pPr>
        <w:pStyle w:val="a3"/>
        <w:numPr>
          <w:ilvl w:val="0"/>
          <w:numId w:val="4"/>
        </w:numPr>
        <w:shd w:val="clear" w:color="auto" w:fill="FFFFFF"/>
        <w:spacing w:after="0"/>
        <w:ind w:right="-28"/>
        <w:jc w:val="both"/>
        <w:outlineLvl w:val="0"/>
        <w:rPr>
          <w:rFonts w:ascii="Times New Roman" w:hAnsi="Times New Roman" w:cs="Times New Roman"/>
          <w:sz w:val="28"/>
          <w:szCs w:val="28"/>
          <w:lang w:val="tt-RU"/>
        </w:rPr>
      </w:pPr>
      <w:r w:rsidRPr="005C1AFB">
        <w:rPr>
          <w:rFonts w:ascii="Times New Roman" w:hAnsi="Times New Roman" w:cs="Times New Roman"/>
          <w:sz w:val="28"/>
          <w:szCs w:val="28"/>
          <w:shd w:val="clear" w:color="auto" w:fill="F7F8F9"/>
        </w:rPr>
        <w:t>Татарстан Республикасы Чүпрәле муниципаль районының Яңа Борындык авыл җирлеге ягыннан капитал салуларны яклау һәм бүләкләү турында килешүләр төзү тәртибе һәм шартлары турында кушымтада бирелгән Нигезләмәне расларга.</w:t>
      </w:r>
    </w:p>
    <w:p w:rsidR="00B44521" w:rsidRPr="005C1AFB" w:rsidRDefault="00B44521" w:rsidP="00B44521">
      <w:pPr>
        <w:pStyle w:val="a3"/>
        <w:numPr>
          <w:ilvl w:val="0"/>
          <w:numId w:val="4"/>
        </w:numPr>
        <w:shd w:val="clear" w:color="auto" w:fill="FFFFFF"/>
        <w:spacing w:after="0"/>
        <w:ind w:right="-28"/>
        <w:jc w:val="both"/>
        <w:outlineLvl w:val="0"/>
        <w:rPr>
          <w:rFonts w:ascii="Times New Roman" w:hAnsi="Times New Roman" w:cs="Times New Roman"/>
          <w:sz w:val="28"/>
          <w:szCs w:val="28"/>
          <w:lang w:val="tt-RU"/>
        </w:rPr>
      </w:pPr>
      <w:r w:rsidRPr="005C1AFB">
        <w:rPr>
          <w:rFonts w:ascii="Times New Roman" w:hAnsi="Times New Roman" w:cs="Times New Roman"/>
          <w:sz w:val="28"/>
          <w:szCs w:val="28"/>
          <w:shd w:val="clear" w:color="auto" w:fill="F7F8F9"/>
        </w:rPr>
        <w:t>Әлеге карар рәсми басылып чыгарга тиеш.</w:t>
      </w:r>
    </w:p>
    <w:p w:rsidR="00B44521" w:rsidRPr="005C1AFB" w:rsidRDefault="00B44521" w:rsidP="00B44521">
      <w:pPr>
        <w:pStyle w:val="a3"/>
        <w:numPr>
          <w:ilvl w:val="0"/>
          <w:numId w:val="4"/>
        </w:numPr>
        <w:shd w:val="clear" w:color="auto" w:fill="FFFFFF"/>
        <w:spacing w:after="0"/>
        <w:ind w:right="-28"/>
        <w:jc w:val="both"/>
        <w:outlineLvl w:val="0"/>
        <w:rPr>
          <w:rFonts w:ascii="Times New Roman" w:hAnsi="Times New Roman" w:cs="Times New Roman"/>
          <w:sz w:val="28"/>
          <w:szCs w:val="28"/>
          <w:lang w:val="tt-RU"/>
        </w:rPr>
      </w:pPr>
      <w:r w:rsidRPr="005C1AFB">
        <w:rPr>
          <w:rFonts w:ascii="Times New Roman" w:hAnsi="Times New Roman" w:cs="Times New Roman"/>
          <w:sz w:val="28"/>
          <w:szCs w:val="28"/>
          <w:shd w:val="clear" w:color="auto" w:fill="F7F8F9"/>
          <w:lang w:val="tt-RU"/>
        </w:rPr>
        <w:t>Әлеге карарның үтәлешен тикшереп торуны үз өстемдә калдырам.</w:t>
      </w:r>
    </w:p>
    <w:p w:rsidR="00B44521" w:rsidRPr="005C1AFB" w:rsidRDefault="00B44521" w:rsidP="00B41B0D">
      <w:pPr>
        <w:shd w:val="clear" w:color="auto" w:fill="FFFFFF"/>
        <w:spacing w:after="0"/>
        <w:ind w:right="-28"/>
        <w:jc w:val="both"/>
        <w:outlineLvl w:val="0"/>
        <w:rPr>
          <w:rFonts w:ascii="Times New Roman" w:hAnsi="Times New Roman" w:cs="Times New Roman"/>
          <w:sz w:val="28"/>
          <w:szCs w:val="28"/>
          <w:lang w:val="tt-RU"/>
        </w:rPr>
      </w:pP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lang w:val="tt-RU"/>
        </w:rPr>
      </w:pPr>
      <w:r w:rsidRPr="00570142">
        <w:rPr>
          <w:rFonts w:ascii="Times New Roman" w:hAnsi="Times New Roman" w:cs="Times New Roman"/>
          <w:sz w:val="28"/>
          <w:szCs w:val="28"/>
          <w:lang w:val="tt-RU"/>
        </w:rPr>
        <w:t xml:space="preserve">Яңа Борындык авыл </w:t>
      </w:r>
    </w:p>
    <w:p w:rsidR="00CA527C" w:rsidRDefault="00CA527C" w:rsidP="00B41B0D">
      <w:pPr>
        <w:shd w:val="clear" w:color="auto" w:fill="FFFFFF"/>
        <w:spacing w:after="0"/>
        <w:ind w:right="-28"/>
        <w:jc w:val="both"/>
        <w:outlineLvl w:val="0"/>
        <w:rPr>
          <w:rFonts w:ascii="Times New Roman" w:hAnsi="Times New Roman" w:cs="Times New Roman"/>
          <w:sz w:val="28"/>
          <w:szCs w:val="28"/>
        </w:rPr>
      </w:pPr>
      <w:r w:rsidRPr="00570142">
        <w:rPr>
          <w:rFonts w:ascii="Times New Roman" w:hAnsi="Times New Roman" w:cs="Times New Roman"/>
          <w:sz w:val="28"/>
          <w:szCs w:val="28"/>
        </w:rPr>
        <w:t xml:space="preserve">җирлеге башлыгы                                      </w:t>
      </w:r>
      <w:r w:rsidRPr="00570142">
        <w:rPr>
          <w:rFonts w:ascii="Times New Roman" w:hAnsi="Times New Roman" w:cs="Times New Roman"/>
          <w:sz w:val="28"/>
          <w:szCs w:val="28"/>
        </w:rPr>
        <w:tab/>
      </w:r>
      <w:r w:rsidRPr="00570142">
        <w:rPr>
          <w:rFonts w:ascii="Times New Roman" w:hAnsi="Times New Roman" w:cs="Times New Roman"/>
          <w:sz w:val="28"/>
          <w:szCs w:val="28"/>
        </w:rPr>
        <w:tab/>
      </w:r>
      <w:r w:rsidRPr="00570142">
        <w:rPr>
          <w:rFonts w:ascii="Times New Roman" w:hAnsi="Times New Roman" w:cs="Times New Roman"/>
          <w:sz w:val="28"/>
          <w:szCs w:val="28"/>
        </w:rPr>
        <w:tab/>
        <w:t xml:space="preserve">           В. Г. Ранцев</w:t>
      </w: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Default="00B44521" w:rsidP="00B41B0D">
      <w:pPr>
        <w:shd w:val="clear" w:color="auto" w:fill="FFFFFF"/>
        <w:spacing w:after="0"/>
        <w:ind w:right="-28"/>
        <w:jc w:val="both"/>
        <w:outlineLvl w:val="0"/>
        <w:rPr>
          <w:rFonts w:ascii="Times New Roman" w:hAnsi="Times New Roman" w:cs="Times New Roman"/>
          <w:sz w:val="28"/>
          <w:szCs w:val="28"/>
        </w:rPr>
      </w:pPr>
    </w:p>
    <w:p w:rsidR="00B44521" w:rsidRPr="005E2F89" w:rsidRDefault="005E2F89" w:rsidP="00B44521">
      <w:pPr>
        <w:shd w:val="clear" w:color="auto" w:fill="FFFFFF"/>
        <w:spacing w:after="0"/>
        <w:ind w:left="6521" w:right="-28"/>
        <w:outlineLvl w:val="0"/>
        <w:rPr>
          <w:rFonts w:ascii="Times New Roman" w:hAnsi="Times New Roman" w:cs="Times New Roman"/>
          <w:sz w:val="28"/>
          <w:szCs w:val="28"/>
          <w:shd w:val="clear" w:color="auto" w:fill="F7F8F9"/>
        </w:rPr>
      </w:pPr>
      <w:r w:rsidRPr="005E2F89">
        <w:rPr>
          <w:rFonts w:ascii="Times New Roman" w:eastAsia="Times New Roman" w:hAnsi="Times New Roman" w:cs="Times New Roman"/>
          <w:sz w:val="28"/>
          <w:szCs w:val="28"/>
          <w:lang w:eastAsia="ru-RU"/>
        </w:rPr>
        <w:lastRenderedPageBreak/>
        <w:t xml:space="preserve">КУШЫТМА </w:t>
      </w:r>
    </w:p>
    <w:p w:rsidR="00B44521" w:rsidRPr="005C1AFB" w:rsidRDefault="00B44521" w:rsidP="00B44521">
      <w:pPr>
        <w:shd w:val="clear" w:color="auto" w:fill="FFFFFF"/>
        <w:spacing w:after="0"/>
        <w:ind w:left="6521" w:right="-28"/>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Татарстан Республикасы Чүпрәле муниципаль районының Яңа Борынды</w:t>
      </w:r>
      <w:bookmarkStart w:id="0" w:name="_GoBack"/>
      <w:bookmarkEnd w:id="0"/>
      <w:r w:rsidRPr="005C1AFB">
        <w:rPr>
          <w:rFonts w:ascii="Times New Roman" w:hAnsi="Times New Roman" w:cs="Times New Roman"/>
          <w:sz w:val="28"/>
          <w:szCs w:val="28"/>
          <w:shd w:val="clear" w:color="auto" w:fill="F7F8F9"/>
        </w:rPr>
        <w:t>к авыл җирлеге карары белән</w:t>
      </w:r>
    </w:p>
    <w:p w:rsidR="00B44521" w:rsidRPr="005C1AFB" w:rsidRDefault="00B44521" w:rsidP="00B44521">
      <w:pPr>
        <w:shd w:val="clear" w:color="auto" w:fill="FFFFFF"/>
        <w:spacing w:after="0"/>
        <w:ind w:left="6521" w:right="-28"/>
        <w:outlineLvl w:val="0"/>
        <w:rPr>
          <w:rFonts w:ascii="Times New Roman" w:hAnsi="Times New Roman" w:cs="Times New Roman"/>
          <w:sz w:val="28"/>
          <w:szCs w:val="28"/>
          <w:shd w:val="clear" w:color="auto" w:fill="F7F8F9"/>
        </w:rPr>
      </w:pPr>
    </w:p>
    <w:p w:rsidR="00B44521" w:rsidRPr="005C1AFB" w:rsidRDefault="00B44521" w:rsidP="00B44521">
      <w:pPr>
        <w:shd w:val="clear" w:color="auto" w:fill="FFFFFF"/>
        <w:spacing w:after="0"/>
        <w:ind w:left="6521" w:right="-28"/>
        <w:outlineLvl w:val="0"/>
        <w:rPr>
          <w:rFonts w:ascii="Times New Roman" w:hAnsi="Times New Roman" w:cs="Times New Roman"/>
          <w:sz w:val="28"/>
          <w:szCs w:val="28"/>
          <w:shd w:val="clear" w:color="auto" w:fill="F7F8F9"/>
        </w:rPr>
      </w:pPr>
    </w:p>
    <w:p w:rsidR="00B44521" w:rsidRPr="005C1AFB" w:rsidRDefault="00B44521" w:rsidP="00B44521">
      <w:pPr>
        <w:shd w:val="clear" w:color="auto" w:fill="FFFFFF"/>
        <w:spacing w:after="0"/>
        <w:ind w:right="-28"/>
        <w:jc w:val="center"/>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Татарстан Республикасы Чүпрәле муниципаль районының Яңа Борындык авыл җирлеге ягыннан капитал салуларны яклау һәм бүләкләү турында килешүләр төзү тәртибе һәм шартлары нигезләмәсе</w:t>
      </w:r>
    </w:p>
    <w:p w:rsidR="00B44521" w:rsidRPr="005C1AFB" w:rsidRDefault="00B44521" w:rsidP="00B44521">
      <w:pPr>
        <w:shd w:val="clear" w:color="auto" w:fill="FFFFFF"/>
        <w:spacing w:after="0"/>
        <w:ind w:right="-28"/>
        <w:jc w:val="center"/>
        <w:outlineLvl w:val="0"/>
        <w:rPr>
          <w:rFonts w:ascii="Times New Roman" w:hAnsi="Times New Roman" w:cs="Times New Roman"/>
          <w:sz w:val="28"/>
          <w:szCs w:val="28"/>
          <w:shd w:val="clear" w:color="auto" w:fill="F7F8F9"/>
        </w:rPr>
      </w:pPr>
    </w:p>
    <w:p w:rsidR="00B44521" w:rsidRPr="005C1AFB" w:rsidRDefault="00B44521"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Әлеге Нигезләмә «Россия Федерациясендә капитал салуларны яклау һәм бүләкләү турында» 2020 елның 1 апрелендәге 69-ФЗ номерлы Федераль законның 4 статьясындагы 8 өлеше (алга таба - Федераль закон) нигезендә эшләнде һәм Татарстан Республикасы Чүпрәле муниципаль районының Яңа Борындык авыл җирлеге ягыннан капитал салуларны яклау һәм бүләкләү турында килешүләр төзү шартларын һәм тәртибен билгели.</w:t>
      </w:r>
    </w:p>
    <w:p w:rsidR="005A5192" w:rsidRPr="005C1AFB" w:rsidRDefault="005A5192" w:rsidP="00B44521">
      <w:pPr>
        <w:shd w:val="clear" w:color="auto" w:fill="FFFFFF"/>
        <w:spacing w:after="0"/>
        <w:ind w:right="-28" w:firstLine="708"/>
        <w:jc w:val="both"/>
        <w:outlineLvl w:val="0"/>
        <w:rPr>
          <w:rFonts w:ascii="Times New Roman" w:hAnsi="Times New Roman" w:cs="Times New Roman"/>
          <w:sz w:val="28"/>
          <w:szCs w:val="28"/>
        </w:rPr>
      </w:pPr>
    </w:p>
    <w:p w:rsidR="005A5192" w:rsidRPr="005C1AFB" w:rsidRDefault="005A5192" w:rsidP="005A5192">
      <w:pPr>
        <w:shd w:val="clear" w:color="auto" w:fill="FFFFFF"/>
        <w:spacing w:after="0"/>
        <w:ind w:right="-28" w:firstLine="708"/>
        <w:jc w:val="center"/>
        <w:outlineLvl w:val="0"/>
        <w:rPr>
          <w:rFonts w:ascii="Times New Roman" w:hAnsi="Times New Roman" w:cs="Times New Roman"/>
          <w:b/>
          <w:sz w:val="28"/>
          <w:szCs w:val="28"/>
          <w:shd w:val="clear" w:color="auto" w:fill="F7F8F9"/>
        </w:rPr>
      </w:pPr>
      <w:r w:rsidRPr="005C1AFB">
        <w:rPr>
          <w:rFonts w:ascii="Times New Roman" w:hAnsi="Times New Roman" w:cs="Times New Roman"/>
          <w:b/>
          <w:sz w:val="28"/>
          <w:szCs w:val="28"/>
          <w:shd w:val="clear" w:color="auto" w:fill="F7F8F9"/>
        </w:rPr>
        <w:t>1. Татарстан Республикасы Чүпрәле муниципаль районының Яңа Борындык авыл җирлеге ягыннан капитал салуларны яклау һәм бүләкләү турында килешүләр төзү тәртибе</w:t>
      </w:r>
    </w:p>
    <w:p w:rsidR="005A5192" w:rsidRPr="005C1AFB" w:rsidRDefault="005A5192"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1.1. Капитал салуларны яклау һәм бүләкләү турында килешүне төзүгә, үзгәртүгә һәм өзүгә бәйле, шулай ук күрсәтелгән килешү буенча бурычларны үтәүгә бәйле рәвештә барлыкка килә торган мөнәсәбәтләргә карата, Федераль законда билгеләнгән үзенчәлекләрне исәпкә алып, граждан законнары кагыйдәләре кулланыла. </w:t>
      </w:r>
    </w:p>
    <w:p w:rsidR="005A5192" w:rsidRPr="005C1AFB" w:rsidRDefault="005A5192"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1.2. Капитал салуларны яклау һәм бүләкләү турындагы килешү 2030 елның 1 гыйнварыннан да соңга калмыйча төзелә.</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1.3. Капиталлауларны яклау һәм бүләкләү турындагы килешүдә түбәндәге шартлар булырга тиеш: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1) инвестиция проектын тасвирлау, шул исәптән инвестиция проектын гамәлгә ашыру нәтиҗәсендә башкарыла торган, башкарыла торган яисә төзелә торган интеллектуаль эшчәнлек товарларын, эшләрен, хезмәт күрсәтүләрен яисә нәтиҗәләрен, аларның күздә тотылган күләме турында белешмәләр, аларга карата технологик һәм экологик таләпләр;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2) инвестиция проектын гамәлгә ашыру этапларын күрсәтү, шул исәптән: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а) проектны гамәлгә ашыру өчен кирәкле рөхсәтләр һәм ризалыклар алу срогы;</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lastRenderedPageBreak/>
        <w:t xml:space="preserve">б) хокукларны дәүләт теркәве срогы, шул исәптән күчемсез милеккә хокук, интеллектуаль эшчәнлек нәтиҗәләре яисә индивидуальләштерү чарасы (кулланылучы очракларда);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в) инвестиция проекты кысаларында төзелә торган, модернизацияләнә торган яисә реконструкцияләнә торган объектны (кулланыла торган очракларда) файдалануга кертү срогы;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г) билгеләнгән күләмдә капитал салуларны гамәлгә ашыру срогы, федераль законда каралган тотрыклыландыру төзәтмәләрен куллану срогыннан артмаган килеш;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rPr>
      </w:pPr>
      <w:r w:rsidRPr="005C1AFB">
        <w:rPr>
          <w:rFonts w:ascii="Times New Roman" w:hAnsi="Times New Roman" w:cs="Times New Roman"/>
          <w:sz w:val="28"/>
          <w:szCs w:val="28"/>
          <w:shd w:val="clear" w:color="auto" w:fill="F7F8F9"/>
        </w:rPr>
        <w:t>д) капитал салуларны яклау һәм бүләкләү турында килешүдә билгеләнгән башка чараларны гамәлгә ашыру срогы;</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3) Федераль законда күрсәтелгән инвестиция проектын гамәлгә ашыру параметрларыннан иң чик тайпылышлар турында белешмәләр (25 процент чикләрендә). Иң чик мөмкин булган тайпылышларның күрсәткечләре Россия Федерациясе Хөкүмәте билгеләгән тәртип нигезендә билгеләнә, шул ук вакытта проектны гамәлгә ашыра торган оешмалар тарафыннан кертелә торган капитал салуларның күләме Федераль законның 9 статьясындагы 4 өлешендә каралган зурлыклардан ким була алмый;</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4) Федераль законда билгеләнгән сроклар чикләрендә тотрыклыландырылган төзәтмәләр куллану срогы;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5) Федераль законның 14 статьясындагы 1 өлешенең 1 пунктында күрсәтелгән субсидияләрне, бюджет инвестицияләрен бирү сроклары һәм күләмнәре, Федераль законның 14 статьясындагы 1 өлешенең 1 пунктында күрсәтелгән кредит шартнамәсе буенча процент ставкасы (аны билгеләү тәртибе), шулай ук Федераль законның 14 статьясындагы 3 өлешенең 2 пунктында күрсәтелгән субсидияләр бирү сроклары һәм күләмнәре;</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6) проектны гамәлгә ашыручы оешма, проектны гамәлгә ашыручы оешма, проектны гамәлгә ашыручы оешма тарафыннан мәҗбүри түләүләр күләменнән артмаган күләмдә, проектны гамәлгә ашыручы оешма тарафыннан Россия Федерациясе бюджет системасының тиешле бюджеты акчалары исәбеннән түләүләрне инвестиция проектын гамәлгә ашыруга бәйле рәвештә саклау һәм капитал салуларны яклау турындагы килешүнең яклары булган гавами-хокукый берәмлекләрнең тиешле бюджетларына түләвен күрсәтү (Россия Федерациясе проектны гамәлгә ашыручы оешмаларны, зыянны кайтаруны бурычын үз өстенә алган очрактан тыш), ә атап әйткәндә, оешмалар табышына салым, транспорт салымы, өстәлгән бәягә салым (гамәлгә ашырылган оешмаларга салым, таможня пошлиналары һәм җиңел акцизлар кертүче автомобиль юлларына кертелгән инвестицияләрне гамәлгә ашыруга бәйле рәвештә:</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lastRenderedPageBreak/>
        <w:t xml:space="preserve">а) Федераль законның 12 статьясында каралган тәртип нигезендә реаль зыянны каплауга, шул исәптән Федераль законның 14 статьясындагы 3 өлешендә каралган очракларда;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б) Федераль законның 15 статьясында каралган тотылган чыгымнарны каплауга (гавами-хокукый белем бирү мондый чыгымнарны каплау турында карар кабул ителгән очракта);</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7) проектны гамәлгә ашыручы оешма тарафыннан инвестиция проектын гамәлгә ашыру этаплары турында мәгълүмат бирү тәртибе;</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8) капиталлауларны яклау һәм бүләкләү турында килешүнең яклар арасында бәхәсләрне хәл итү тәртибе;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9) Федераль законда каралган башка шартлар.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1.4. Килешү төзү турындагы карар Татарстан Республикасы Чүпрәле муниципаль районының Яңа Борындык авыл җирлеге башкарма комитеты карары рәвешендә кабул ителә. </w:t>
      </w:r>
    </w:p>
    <w:p w:rsidR="00A94DF0" w:rsidRPr="005C1AFB" w:rsidRDefault="00A94DF0" w:rsidP="00B44521">
      <w:pPr>
        <w:shd w:val="clear" w:color="auto" w:fill="FFFFFF"/>
        <w:spacing w:after="0"/>
        <w:ind w:right="-28" w:firstLine="708"/>
        <w:jc w:val="both"/>
        <w:outlineLvl w:val="0"/>
        <w:rPr>
          <w:rFonts w:ascii="Times New Roman" w:hAnsi="Times New Roman" w:cs="Times New Roman"/>
          <w:sz w:val="28"/>
          <w:szCs w:val="28"/>
          <w:shd w:val="clear" w:color="auto" w:fill="F7F8F9"/>
        </w:rPr>
      </w:pPr>
    </w:p>
    <w:p w:rsidR="00A94DF0" w:rsidRPr="005C1AFB" w:rsidRDefault="00A94DF0" w:rsidP="00A94DF0">
      <w:pPr>
        <w:shd w:val="clear" w:color="auto" w:fill="FFFFFF"/>
        <w:spacing w:after="0"/>
        <w:ind w:right="-28" w:firstLine="708"/>
        <w:jc w:val="center"/>
        <w:outlineLvl w:val="0"/>
        <w:rPr>
          <w:rFonts w:ascii="Times New Roman" w:hAnsi="Times New Roman" w:cs="Times New Roman"/>
          <w:b/>
          <w:sz w:val="28"/>
          <w:szCs w:val="28"/>
          <w:shd w:val="clear" w:color="auto" w:fill="F7F8F9"/>
        </w:rPr>
      </w:pPr>
      <w:r w:rsidRPr="005C1AFB">
        <w:rPr>
          <w:rFonts w:ascii="Times New Roman" w:hAnsi="Times New Roman" w:cs="Times New Roman"/>
          <w:b/>
          <w:sz w:val="28"/>
          <w:szCs w:val="28"/>
          <w:shd w:val="clear" w:color="auto" w:fill="F7F8F9"/>
        </w:rPr>
        <w:t>2. Татарстан Республикасы Чүпрәле муниципаль районының Яңа Борындык авыл җирлеге ягыннан капитал салуларны яклау һәм бүләкләү турында килешүләр төзү шартлары</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2.1. Капиталлауларны яклау һәм бүләкләү турындагы килешү, мондый килешү Россия икътисадының бер өлкәсендә яңа инвестиция проектын гамәлгә ашыруны күздә тоткан очракта, түбәндәге өлкәләрдән һәм эшчәнлек төрләреннән тыш, проектны гамәлгә ашыручы оешма белән төзелә: </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1) уен бизнесы; </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2) тәмәке әйберләре, алкоголь продукциясе, сыек ягулык җитештерү (күмердән алынган сыек ягулыкка карата күрелмәгән чикләү, шулай ук Россия Федерациясе Хөкүмәте раслаган исемлек нигезендә нефть чималын икенчел эшкәртү җайланмаларында);</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3) чи нефть һәм табигый газ, шул исәптән иярчен нефть газы чыгару (табигый газны сыекландыру буенча инвестиция проектларына карата күрелмәгән чикләүләр); </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4) күмәртәләп һәм ваклап сату; </w:t>
      </w:r>
    </w:p>
    <w:p w:rsidR="00A94DF0" w:rsidRPr="005C1AFB" w:rsidRDefault="00A94DF0" w:rsidP="00A94DF0">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5C1AFB">
        <w:rPr>
          <w:rFonts w:ascii="Times New Roman" w:hAnsi="Times New Roman" w:cs="Times New Roman"/>
          <w:sz w:val="28"/>
          <w:szCs w:val="28"/>
          <w:shd w:val="clear" w:color="auto" w:fill="F7F8F9"/>
        </w:rPr>
        <w:t xml:space="preserve">5) Россия Федерациясе Үзәк банкы карамагындагы финанс оешмалары эшчәнлеге (инвестиция проектын финанслау максатларында кыйммәтле кәгазьләр чыгару очракларына карата күрелмәгән чикләүләр); </w:t>
      </w:r>
    </w:p>
    <w:p w:rsidR="00A94DF0" w:rsidRPr="005C1AFB" w:rsidRDefault="00A94DF0" w:rsidP="00A94DF0">
      <w:pPr>
        <w:shd w:val="clear" w:color="auto" w:fill="FFFFFF"/>
        <w:spacing w:after="0"/>
        <w:ind w:right="-28" w:firstLine="708"/>
        <w:jc w:val="both"/>
        <w:outlineLvl w:val="0"/>
        <w:rPr>
          <w:rFonts w:ascii="Times New Roman" w:hAnsi="Times New Roman" w:cs="Times New Roman"/>
          <w:b/>
          <w:sz w:val="28"/>
          <w:szCs w:val="28"/>
        </w:rPr>
      </w:pPr>
      <w:r w:rsidRPr="005C1AFB">
        <w:rPr>
          <w:rFonts w:ascii="Times New Roman" w:hAnsi="Times New Roman" w:cs="Times New Roman"/>
          <w:sz w:val="28"/>
          <w:szCs w:val="28"/>
          <w:shd w:val="clear" w:color="auto" w:fill="F7F8F9"/>
        </w:rPr>
        <w:t>6) административ-эшлекле үзәкләр һәм сәүдә үзәкләре (комплекслар), шулай ук торак йортлар төзү (модернизацияләү, реконструкцияләү).</w:t>
      </w:r>
    </w:p>
    <w:sectPr w:rsidR="00A94DF0" w:rsidRPr="005C1AFB"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6AC" w:rsidRDefault="00A256AC" w:rsidP="00866C24">
      <w:pPr>
        <w:spacing w:after="0" w:line="240" w:lineRule="auto"/>
      </w:pPr>
      <w:r>
        <w:separator/>
      </w:r>
    </w:p>
  </w:endnote>
  <w:endnote w:type="continuationSeparator" w:id="0">
    <w:p w:rsidR="00A256AC" w:rsidRDefault="00A256AC"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5E2F89">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6AC" w:rsidRDefault="00A256AC" w:rsidP="00866C24">
      <w:pPr>
        <w:spacing w:after="0" w:line="240" w:lineRule="auto"/>
      </w:pPr>
      <w:r>
        <w:separator/>
      </w:r>
    </w:p>
  </w:footnote>
  <w:footnote w:type="continuationSeparator" w:id="0">
    <w:p w:rsidR="00A256AC" w:rsidRDefault="00A256AC"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9D73F1"/>
    <w:multiLevelType w:val="hybridMultilevel"/>
    <w:tmpl w:val="32E28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A1AF4"/>
    <w:rsid w:val="000B20A4"/>
    <w:rsid w:val="000B2569"/>
    <w:rsid w:val="000F346B"/>
    <w:rsid w:val="000F6BB3"/>
    <w:rsid w:val="00102165"/>
    <w:rsid w:val="0013507B"/>
    <w:rsid w:val="00142247"/>
    <w:rsid w:val="001A61FF"/>
    <w:rsid w:val="001B564F"/>
    <w:rsid w:val="001C0874"/>
    <w:rsid w:val="001C0B21"/>
    <w:rsid w:val="001E4D92"/>
    <w:rsid w:val="002032A3"/>
    <w:rsid w:val="0023124A"/>
    <w:rsid w:val="0024698E"/>
    <w:rsid w:val="00281598"/>
    <w:rsid w:val="002B3C5C"/>
    <w:rsid w:val="002F70B3"/>
    <w:rsid w:val="00343A7F"/>
    <w:rsid w:val="003821B0"/>
    <w:rsid w:val="003B1E5A"/>
    <w:rsid w:val="003B41AC"/>
    <w:rsid w:val="003C028C"/>
    <w:rsid w:val="003C2233"/>
    <w:rsid w:val="003C6097"/>
    <w:rsid w:val="003F2B7F"/>
    <w:rsid w:val="0040090E"/>
    <w:rsid w:val="004151E9"/>
    <w:rsid w:val="0045126F"/>
    <w:rsid w:val="00457093"/>
    <w:rsid w:val="004608D9"/>
    <w:rsid w:val="00461142"/>
    <w:rsid w:val="0046507A"/>
    <w:rsid w:val="004746CA"/>
    <w:rsid w:val="00477878"/>
    <w:rsid w:val="00487B62"/>
    <w:rsid w:val="004A0ABD"/>
    <w:rsid w:val="004B53A6"/>
    <w:rsid w:val="004E7658"/>
    <w:rsid w:val="00513F83"/>
    <w:rsid w:val="00532159"/>
    <w:rsid w:val="00570142"/>
    <w:rsid w:val="005902CB"/>
    <w:rsid w:val="005973DC"/>
    <w:rsid w:val="005A5192"/>
    <w:rsid w:val="005B1308"/>
    <w:rsid w:val="005C1AFB"/>
    <w:rsid w:val="005D1911"/>
    <w:rsid w:val="005D2603"/>
    <w:rsid w:val="005D2BC9"/>
    <w:rsid w:val="005E2F89"/>
    <w:rsid w:val="005F20BF"/>
    <w:rsid w:val="005F4B0D"/>
    <w:rsid w:val="00664DD8"/>
    <w:rsid w:val="0068618A"/>
    <w:rsid w:val="006A64BF"/>
    <w:rsid w:val="006D57EA"/>
    <w:rsid w:val="006E053F"/>
    <w:rsid w:val="00741508"/>
    <w:rsid w:val="00792A2C"/>
    <w:rsid w:val="007A31E2"/>
    <w:rsid w:val="007E6D3A"/>
    <w:rsid w:val="007F32CA"/>
    <w:rsid w:val="007F5DD5"/>
    <w:rsid w:val="00806B2B"/>
    <w:rsid w:val="00816070"/>
    <w:rsid w:val="00837033"/>
    <w:rsid w:val="00862756"/>
    <w:rsid w:val="00866C24"/>
    <w:rsid w:val="00867915"/>
    <w:rsid w:val="00872929"/>
    <w:rsid w:val="008B7D46"/>
    <w:rsid w:val="008D74FC"/>
    <w:rsid w:val="008F6C5D"/>
    <w:rsid w:val="00933639"/>
    <w:rsid w:val="00935484"/>
    <w:rsid w:val="00A22A02"/>
    <w:rsid w:val="00A256AC"/>
    <w:rsid w:val="00A37086"/>
    <w:rsid w:val="00A64F44"/>
    <w:rsid w:val="00A9495C"/>
    <w:rsid w:val="00A94DF0"/>
    <w:rsid w:val="00A96303"/>
    <w:rsid w:val="00AA053B"/>
    <w:rsid w:val="00AC48AD"/>
    <w:rsid w:val="00AD28B6"/>
    <w:rsid w:val="00AE7E73"/>
    <w:rsid w:val="00B01D1A"/>
    <w:rsid w:val="00B14BE8"/>
    <w:rsid w:val="00B31434"/>
    <w:rsid w:val="00B41B0D"/>
    <w:rsid w:val="00B44521"/>
    <w:rsid w:val="00B44F19"/>
    <w:rsid w:val="00B574BB"/>
    <w:rsid w:val="00B64E2F"/>
    <w:rsid w:val="00B83BA2"/>
    <w:rsid w:val="00B83F17"/>
    <w:rsid w:val="00BA27C1"/>
    <w:rsid w:val="00BC2132"/>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C2A19"/>
    <w:rsid w:val="00DD03A2"/>
    <w:rsid w:val="00E26D52"/>
    <w:rsid w:val="00E433B3"/>
    <w:rsid w:val="00E57BE9"/>
    <w:rsid w:val="00E66B83"/>
    <w:rsid w:val="00E97D72"/>
    <w:rsid w:val="00EE7CBF"/>
    <w:rsid w:val="00F2622D"/>
    <w:rsid w:val="00F507A1"/>
    <w:rsid w:val="00F5153A"/>
    <w:rsid w:val="00F60009"/>
    <w:rsid w:val="00F97F92"/>
    <w:rsid w:val="00FA7C73"/>
    <w:rsid w:val="00FB15DC"/>
    <w:rsid w:val="00FC1007"/>
    <w:rsid w:val="00FD47C4"/>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2B02"/>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 w:type="character" w:styleId="ab">
    <w:name w:val="Hyperlink"/>
    <w:basedOn w:val="a0"/>
    <w:uiPriority w:val="99"/>
    <w:unhideWhenUsed/>
    <w:rsid w:val="00BC2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124</cp:revision>
  <cp:lastPrinted>2020-11-19T11:09:00Z</cp:lastPrinted>
  <dcterms:created xsi:type="dcterms:W3CDTF">2020-02-25T12:23:00Z</dcterms:created>
  <dcterms:modified xsi:type="dcterms:W3CDTF">2020-11-19T11:09:00Z</dcterms:modified>
</cp:coreProperties>
</file>