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966E7C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9.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20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966E7C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bookmarkStart w:id="0" w:name="_GoBack"/>
      <w:bookmarkEnd w:id="0"/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D20848" w:rsidRPr="00D20848" w:rsidRDefault="00D20848" w:rsidP="00D208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профилактикалауга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юнәлтелгән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.</w:t>
      </w: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» 25.07.2002 ел, № 114-ФЗ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закон, «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терроризмга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" 06.03.2006 ел, № 35-ФЗ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закон, Россия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«2025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чорга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сәясәте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стратегиясе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» 19.12.2012 ел, № 1666 Указы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мәсьәләне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эшчәнлекнең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юнәлешләрен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максатыннан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Уставы –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профилактикалау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минимальләштерү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(яки)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нәтиҗәләрен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террорчылык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комитеты, "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:</w:t>
      </w: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"Татарстан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терроризмны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экстремизмны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профилактикалауга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" 2020</w:t>
      </w:r>
      <w:r>
        <w:rPr>
          <w:rFonts w:ascii="Times New Roman" w:hAnsi="Times New Roman" w:cs="Times New Roman"/>
          <w:sz w:val="28"/>
          <w:szCs w:val="28"/>
        </w:rPr>
        <w:t>-2021</w:t>
      </w:r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848" w:rsidRPr="00D20848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84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порталын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684" w:rsidRDefault="00D20848" w:rsidP="00D2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48">
        <w:rPr>
          <w:rFonts w:ascii="Times New Roman" w:hAnsi="Times New Roman" w:cs="Times New Roman"/>
          <w:sz w:val="28"/>
          <w:szCs w:val="28"/>
        </w:rPr>
        <w:t xml:space="preserve">  3.  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848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D20848">
        <w:rPr>
          <w:rFonts w:ascii="Times New Roman" w:hAnsi="Times New Roman" w:cs="Times New Roman"/>
          <w:sz w:val="28"/>
          <w:szCs w:val="28"/>
        </w:rPr>
        <w:t>.</w:t>
      </w:r>
    </w:p>
    <w:p w:rsidR="00F22684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В. Г. Ранцев</w:t>
      </w:r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33D1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33D1E" w:rsidRPr="00D33D1E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2010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, № 2 </w:t>
      </w:r>
    </w:p>
    <w:p w:rsidR="00D33D1E" w:rsidRPr="00D33D1E" w:rsidRDefault="00D33D1E" w:rsidP="00D33D1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20848" w:rsidRDefault="00D33D1E" w:rsidP="00D33D1E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Татарстан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терроризмны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экстремизмны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профилактикалауга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юнәлдерелгән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D33D1E">
        <w:rPr>
          <w:rFonts w:ascii="Times New Roman" w:hAnsi="Times New Roman" w:cs="Times New Roman"/>
          <w:color w:val="333333"/>
          <w:sz w:val="28"/>
          <w:szCs w:val="28"/>
        </w:rPr>
        <w:t xml:space="preserve"> планы 2020-2021 </w:t>
      </w:r>
      <w:proofErr w:type="spellStart"/>
      <w:r w:rsidRPr="00D33D1E">
        <w:rPr>
          <w:rFonts w:ascii="Times New Roman" w:hAnsi="Times New Roman" w:cs="Times New Roman"/>
          <w:color w:val="333333"/>
          <w:sz w:val="28"/>
          <w:szCs w:val="28"/>
        </w:rPr>
        <w:t>елларга</w:t>
      </w:r>
      <w:proofErr w:type="spellEnd"/>
    </w:p>
    <w:p w:rsidR="00D33D1E" w:rsidRDefault="00D33D1E" w:rsidP="00D33D1E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2527"/>
        <w:gridCol w:w="2009"/>
      </w:tblGrid>
      <w:tr w:rsidR="00D33D1E" w:rsidRPr="001C17AE" w:rsidTr="00D33D1E">
        <w:tc>
          <w:tcPr>
            <w:tcW w:w="709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D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46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араларның</w:t>
            </w:r>
            <w:proofErr w:type="spellEnd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2527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җаваплы</w:t>
            </w:r>
            <w:proofErr w:type="spellEnd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башкаручылар</w:t>
            </w:r>
            <w:proofErr w:type="spellEnd"/>
          </w:p>
        </w:tc>
        <w:tc>
          <w:tcPr>
            <w:tcW w:w="2009" w:type="dxa"/>
            <w:hideMark/>
          </w:tcPr>
          <w:p w:rsidR="00D33D1E" w:rsidRPr="00D33D1E" w:rsidRDefault="00D33D1E" w:rsidP="0046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ашкару</w:t>
            </w:r>
            <w:proofErr w:type="spellEnd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3D1E">
              <w:rPr>
                <w:rFonts w:ascii="Times New Roman" w:hAnsi="Times New Roman" w:cs="Times New Roman"/>
                <w:bCs/>
                <w:sz w:val="24"/>
                <w:szCs w:val="24"/>
              </w:rPr>
              <w:t>сроклары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Террорчылыкка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саклануны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көчәйтүгә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комплексын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оештырырга</w:t>
            </w:r>
            <w:proofErr w:type="spellEnd"/>
          </w:p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фонды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идарәсе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йортлар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кешеләр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күпләп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урыннар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шул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исәптән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чарлакларны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техник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яктан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ныгыту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 су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скважиналары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объектлары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кешеләр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урыннар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27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оешма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Учреждениеләрне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йортларны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янәшәсендәге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территорияләрне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террорчылыкка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яклануны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янгын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куркынычсызлыгын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тикшерү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максатларында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комплекслы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тикшерү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үткәрергә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билгеләү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предметына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буш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Арендалана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биналарны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тикшерү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янгын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хезмәте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килешенү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полициянең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уполномоченные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Террорчылыкка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көрәш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мәсьәләләре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уку-укыту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киңәшмәләр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2527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выл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Терроризмга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экстремизмга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тору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күрелә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эшен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оештырырга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032364" w:rsidRPr="00ED4647" w:rsidRDefault="00032364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</w:p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ташландык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йортлар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исемлеген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аныклау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Вакытында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хәбәр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итәргә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органнарына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фактлары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шикле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предметлар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әйберләр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7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32364" w:rsidRPr="00ED4647" w:rsidRDefault="00526A7F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орак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урыннарын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арендага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бирүче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затларны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гражданнарның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урыннарында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теркәлмичә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фактларын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>. Полиция участок уполномоченные,</w:t>
            </w:r>
            <w:r w:rsidR="00032364"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ОВДГА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үз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вакытында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хәбәр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итә</w:t>
            </w:r>
            <w:proofErr w:type="spellEnd"/>
          </w:p>
        </w:tc>
        <w:tc>
          <w:tcPr>
            <w:tcW w:w="2009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эшче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көчләреннән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файдалану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фактларына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куймау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миграция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хезмәте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идарәсенең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Урта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Төньяк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Кавказ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регионнарыннан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чыккан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эшчеләр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үз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вакытында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хәбәр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527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ED4647" w:rsidRDefault="00526A7F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террористик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янаулар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экстремистлык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күренешләрен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миграция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өлкәсендәге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законнарны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гражданнары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гражданлыгы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тарафыннан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кылынган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кисәтү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барырга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2009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халыкны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кисәтү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үткәрүгә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җәлеп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2009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Мәктәпләрдә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гадәттән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тыш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хәлләр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чыкканда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үз-үзеңне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тоту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кагыйдәләре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массакүләм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үткәргәндә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, полиция участок уполномоченные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009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саен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D33D1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Учреждениеләрнең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матди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-техник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ныгыту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шул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исәптән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коймалар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янгынга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булу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күрергә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урыны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җыелышларда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3A614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32364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экстремизмны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профилактикалау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күрсәтмә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материаллар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әзерләргә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урнашкан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оешмаларда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стендларында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урнаштырырга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Китапханә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мөдире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директоры,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9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елның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июненә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кадәр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D1E" w:rsidRPr="00E6595D" w:rsidTr="00D33D1E">
        <w:tc>
          <w:tcPr>
            <w:tcW w:w="709" w:type="dxa"/>
            <w:hideMark/>
          </w:tcPr>
          <w:p w:rsidR="00D33D1E" w:rsidRPr="00E6595D" w:rsidRDefault="00D33D1E" w:rsidP="00463E61">
            <w:pPr>
              <w:rPr>
                <w:sz w:val="28"/>
                <w:szCs w:val="28"/>
              </w:rPr>
            </w:pPr>
            <w:r w:rsidRPr="00E6595D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3A614E" w:rsidRPr="00ED4647" w:rsidRDefault="00032364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Экстремизмга-юк</w:t>
            </w:r>
            <w:proofErr w:type="spellEnd"/>
            <w:r w:rsidR="003A614E" w:rsidRPr="00ED464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33D1E" w:rsidRPr="00ED4647" w:rsidRDefault="00D33D1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полициянең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уполномоченные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), учреждение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җитәкчеләре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:rsidR="003A614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сентябрьдән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сентябрьгә</w:t>
            </w:r>
            <w:proofErr w:type="spellEnd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кадәр</w:t>
            </w:r>
            <w:proofErr w:type="spellEnd"/>
          </w:p>
          <w:p w:rsidR="00D33D1E" w:rsidRPr="00ED4647" w:rsidRDefault="003A614E" w:rsidP="00ED4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647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ED4647">
              <w:rPr>
                <w:rFonts w:ascii="Times New Roman" w:hAnsi="Times New Roman" w:cs="Times New Roman"/>
                <w:sz w:val="24"/>
                <w:szCs w:val="24"/>
              </w:rPr>
              <w:t>еллар</w:t>
            </w:r>
            <w:proofErr w:type="spellEnd"/>
          </w:p>
        </w:tc>
      </w:tr>
    </w:tbl>
    <w:p w:rsidR="00D33D1E" w:rsidRPr="00F22684" w:rsidRDefault="00D33D1E" w:rsidP="00D33D1E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D33D1E" w:rsidRPr="00F2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1913A0"/>
    <w:rsid w:val="003A614E"/>
    <w:rsid w:val="004057F7"/>
    <w:rsid w:val="00526A7F"/>
    <w:rsid w:val="00966E7C"/>
    <w:rsid w:val="00D20848"/>
    <w:rsid w:val="00D33D1E"/>
    <w:rsid w:val="00DA2932"/>
    <w:rsid w:val="00ED4647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A25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2020-01-31T07:56:00Z</cp:lastPrinted>
  <dcterms:created xsi:type="dcterms:W3CDTF">2020-01-31T07:00:00Z</dcterms:created>
  <dcterms:modified xsi:type="dcterms:W3CDTF">2020-01-31T07:56:00Z</dcterms:modified>
</cp:coreProperties>
</file>