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uppressAutoHyphens w:val="true"/>
        <w:bidi w:val="0"/>
        <w:ind w:left="57" w:right="0"/>
        <w:rPr>
          <w:rFonts w:ascii="Times New Roman" w:hAnsi="Times New Roman" w:cs="Times New Roman"/>
          <w:sz w:val="24"/>
          <w:szCs w:val="24"/>
        </w:rPr>
      </w:pPr>
      <w:r>
        <w:rPr>
          <w:rFonts w:cs="Times New Roman"/>
          <w:sz w:val="24"/>
          <w:szCs w:val="24"/>
        </w:rPr>
        <w:t>УТВЕРЖДЕНО решением Совета</w:t>
      </w:r>
    </w:p>
    <w:p>
      <w:pPr>
        <w:pStyle w:val="Normal"/>
        <w:widowControl/>
        <w:suppressAutoHyphens w:val="true"/>
        <w:bidi w:val="0"/>
        <w:ind w:left="57" w:right="0"/>
        <w:rPr/>
      </w:pPr>
      <w:r>
        <w:rPr>
          <w:rFonts w:cs="Times New Roman"/>
          <w:sz w:val="24"/>
          <w:szCs w:val="24"/>
        </w:rPr>
        <w:t xml:space="preserve"> </w:t>
      </w:r>
      <w:r>
        <w:rPr>
          <w:rFonts w:cs="Times New Roman"/>
          <w:sz w:val="24"/>
          <w:szCs w:val="24"/>
        </w:rPr>
        <w:t>Новобурундуковского сельского поселения Дрожжановского муниципального района Республики Татарстан от «30» марта 2018 г. №42/1 (в ред.</w:t>
      </w:r>
      <w:r>
        <w:rPr>
          <w:rFonts w:cs="Times New Roman"/>
          <w:b w:val="false"/>
          <w:i/>
          <w:color w:val="000000"/>
          <w:sz w:val="24"/>
          <w:szCs w:val="24"/>
        </w:rPr>
        <w:t xml:space="preserve"> 10.09.2018</w:t>
      </w:r>
      <w:r>
        <w:rPr>
          <w:rFonts w:cs="Times New Roman"/>
          <w:b w:val="false"/>
          <w:i w:val="false"/>
          <w:caps w:val="false"/>
          <w:smallCaps w:val="false"/>
          <w:color w:val="000000"/>
          <w:spacing w:val="0"/>
          <w:sz w:val="24"/>
          <w:szCs w:val="24"/>
          <w:shd w:fill="FFFFFF" w:val="clear"/>
        </w:rPr>
        <w:t xml:space="preserve"> № 49/1, </w:t>
      </w:r>
      <w:r>
        <w:rPr>
          <w:rFonts w:cs="Times New Roman"/>
          <w:b w:val="false"/>
          <w:i w:val="false"/>
          <w:caps w:val="false"/>
          <w:smallCaps w:val="false"/>
          <w:color w:val="000000"/>
          <w:spacing w:val="0"/>
          <w:sz w:val="24"/>
          <w:szCs w:val="24"/>
          <w:shd w:fill="FFFFFF" w:val="clear"/>
        </w:rPr>
        <w:t xml:space="preserve">от 14.01.2019 № 62/2, </w:t>
      </w:r>
      <w:r>
        <w:rPr>
          <w:rFonts w:cs="Nimbus Roman" w:ascii="Nimbus Roman" w:hAnsi="Nimbus Roman"/>
          <w:b w:val="false"/>
          <w:i/>
          <w:iCs/>
          <w:caps w:val="false"/>
          <w:smallCaps w:val="false"/>
          <w:color w:val="000000"/>
          <w:spacing w:val="0"/>
          <w:sz w:val="24"/>
          <w:szCs w:val="24"/>
          <w:shd w:fill="FFFFFF" w:val="clear"/>
        </w:rPr>
        <w:t>от ____2026 № 12/2</w:t>
      </w:r>
      <w:r>
        <w:rPr>
          <w:rFonts w:cs="Times New Roman"/>
          <w:b w:val="false"/>
          <w:i w:val="false"/>
          <w:caps w:val="false"/>
          <w:smallCaps w:val="false"/>
          <w:color w:val="000000"/>
          <w:spacing w:val="0"/>
          <w:sz w:val="24"/>
          <w:szCs w:val="24"/>
          <w:shd w:fill="FFFFFF" w:val="clear"/>
        </w:rPr>
        <w:t>)</w:t>
      </w:r>
    </w:p>
    <w:p>
      <w:pPr>
        <w:pStyle w:val="ConsPlusNormal"/>
        <w:numPr>
          <w:ilvl w:val="0"/>
          <w:numId w:val="0"/>
        </w:numPr>
        <w:ind w:hanging="0" w:left="6521"/>
        <w:outlineLvl w:val="0"/>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6521"/>
        <w:outlineLvl w:val="0"/>
        <w:rPr>
          <w:rFonts w:ascii="Times New Roman" w:hAnsi="Times New Roman" w:cs="Times New Roman"/>
          <w:sz w:val="28"/>
          <w:szCs w:val="28"/>
        </w:rPr>
      </w:pPr>
      <w:r>
        <w:rPr>
          <w:rFonts w:cs="Times New Roman" w:ascii="Times New Roman" w:hAnsi="Times New Roman"/>
          <w:sz w:val="28"/>
          <w:szCs w:val="28"/>
        </w:rPr>
      </w:r>
    </w:p>
    <w:p>
      <w:pPr>
        <w:pStyle w:val="BodyTextFirstIndent"/>
        <w:bidi w:val="0"/>
        <w:spacing w:lineRule="auto" w:line="240"/>
        <w:ind w:firstLine="567" w:left="0" w:right="0"/>
        <w:jc w:val="center"/>
        <w:rPr>
          <w:b/>
          <w:bCs/>
        </w:rPr>
      </w:pPr>
      <w:r>
        <w:rPr>
          <w:rFonts w:cs="Times New Roman" w:ascii="Nimbus Roman" w:hAnsi="Nimbus Roman"/>
          <w:b/>
          <w:bCs/>
          <w:i w:val="false"/>
          <w:caps w:val="false"/>
          <w:smallCaps w:val="false"/>
          <w:color w:val="111111"/>
          <w:spacing w:val="0"/>
          <w:sz w:val="28"/>
          <w:szCs w:val="28"/>
        </w:rPr>
        <w:t xml:space="preserve">«Об установлении денежных вознаграждений лицам, замещающим муниципальную должность на постоянной основе, размеров должностных окладов муниципальных служащих </w:t>
      </w:r>
      <w:r>
        <w:rPr>
          <w:rFonts w:eastAsia="Times New Roman" w:cs="Arial" w:ascii="Nimbus Roman" w:hAnsi="Nimbus Roman"/>
          <w:b/>
          <w:bCs/>
          <w:i w:val="false"/>
          <w:caps w:val="false"/>
          <w:smallCaps w:val="false"/>
          <w:color w:val="111111"/>
          <w:spacing w:val="0"/>
          <w:sz w:val="28"/>
          <w:szCs w:val="28"/>
        </w:rPr>
        <w:t xml:space="preserve">Новобурундуковского </w:t>
      </w:r>
      <w:r>
        <w:rPr>
          <w:rFonts w:cs="Times New Roman" w:ascii="Nimbus Roman" w:hAnsi="Nimbus Roman"/>
          <w:b/>
          <w:bCs/>
          <w:i w:val="false"/>
          <w:caps w:val="false"/>
          <w:smallCaps w:val="false"/>
          <w:color w:val="111111"/>
          <w:spacing w:val="0"/>
          <w:sz w:val="28"/>
          <w:szCs w:val="28"/>
        </w:rPr>
        <w:t>сельского поселения Дрожжановского муниципального района РТ, ежемесячных и иных дополнительных выплат и порядка их осуществления»</w:t>
      </w:r>
    </w:p>
    <w:p>
      <w:pPr>
        <w:pStyle w:val="BodyTextFirstIndent"/>
        <w:bidi w:val="0"/>
        <w:spacing w:lineRule="auto" w:line="240"/>
        <w:ind w:firstLine="567" w:left="0" w:right="0"/>
        <w:jc w:val="center"/>
        <w:rPr>
          <w:b/>
          <w:bCs/>
        </w:rPr>
      </w:pPr>
      <w:r>
        <w:rPr>
          <w:rFonts w:cs="Times New Roman" w:ascii="Nimbus Roman" w:hAnsi="Nimbus Roman"/>
          <w:b/>
          <w:bCs/>
          <w:i w:val="false"/>
          <w:caps w:val="false"/>
          <w:smallCaps w:val="false"/>
          <w:color w:val="111111"/>
          <w:spacing w:val="0"/>
          <w:sz w:val="28"/>
          <w:szCs w:val="28"/>
        </w:rPr>
        <w:t xml:space="preserve"> </w:t>
      </w:r>
      <w:r>
        <w:rPr>
          <w:rFonts w:cs="Times New Roman" w:ascii="Nimbus Roman" w:hAnsi="Nimbus Roman"/>
          <w:b/>
          <w:bCs/>
          <w:i w:val="false"/>
          <w:caps w:val="false"/>
          <w:smallCaps w:val="false"/>
          <w:color w:val="111111"/>
          <w:spacing w:val="0"/>
          <w:sz w:val="28"/>
          <w:szCs w:val="28"/>
        </w:rPr>
        <w:t xml:space="preserve">(Приложение № 12) </w:t>
      </w:r>
    </w:p>
    <w:p>
      <w:pPr>
        <w:pStyle w:val="ConsPlusNormal"/>
        <w:numPr>
          <w:ilvl w:val="0"/>
          <w:numId w:val="0"/>
        </w:numPr>
        <w:ind w:hanging="0" w:left="6521"/>
        <w:outlineLvl w:val="0"/>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hanging="0" w:left="6521"/>
        <w:outlineLvl w:val="0"/>
        <w:rPr>
          <w:rFonts w:ascii="Times New Roman" w:hAnsi="Times New Roman" w:cs="Times New Roman"/>
          <w:sz w:val="28"/>
          <w:szCs w:val="28"/>
        </w:rPr>
      </w:pPr>
      <w:r>
        <w:rPr>
          <w:rFonts w:cs="Times New Roman" w:ascii="Times New Roman" w:hAnsi="Times New Roman"/>
          <w:sz w:val="28"/>
          <w:szCs w:val="28"/>
        </w:rPr>
        <w:t>Приложение № 1</w:t>
      </w:r>
    </w:p>
    <w:p>
      <w:pPr>
        <w:pStyle w:val="ConsPlusNormal"/>
        <w:numPr>
          <w:ilvl w:val="0"/>
          <w:numId w:val="0"/>
        </w:numPr>
        <w:ind w:hanging="0" w:left="6521"/>
        <w:outlineLvl w:val="0"/>
        <w:rPr>
          <w:rFonts w:ascii="Times New Roman" w:hAnsi="Times New Roman" w:cs="Times New Roman"/>
          <w:sz w:val="28"/>
          <w:szCs w:val="28"/>
        </w:rPr>
      </w:pPr>
      <w:r>
        <w:rPr>
          <w:rFonts w:cs="Times New Roman" w:ascii="Times New Roman" w:hAnsi="Times New Roman"/>
          <w:sz w:val="28"/>
          <w:szCs w:val="28"/>
        </w:rPr>
        <w:t>Утвержден</w:t>
      </w:r>
    </w:p>
    <w:p>
      <w:pPr>
        <w:pStyle w:val="ConsPlusNormal"/>
        <w:ind w:left="6521"/>
        <w:rPr>
          <w:rFonts w:ascii="Times New Roman" w:hAnsi="Times New Roman" w:cs="Times New Roman"/>
          <w:sz w:val="28"/>
          <w:szCs w:val="28"/>
        </w:rPr>
      </w:pPr>
      <w:r>
        <w:rPr>
          <w:rFonts w:cs="Times New Roman" w:ascii="Times New Roman" w:hAnsi="Times New Roman"/>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ConsPlusNormal"/>
        <w:ind w:left="6804"/>
        <w:jc w:val="both"/>
        <w:rPr>
          <w:rFonts w:ascii="Times New Roman" w:hAnsi="Times New Roman" w:cs="Times New Roman"/>
          <w:sz w:val="28"/>
          <w:szCs w:val="28"/>
        </w:rPr>
      </w:pPr>
      <w:r>
        <w:rPr>
          <w:rFonts w:cs="Times New Roman" w:ascii="Times New Roman" w:hAnsi="Times New Roman"/>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center"/>
        <w:outlineLvl w:val="0"/>
        <w:rPr>
          <w:b/>
          <w:bCs/>
        </w:rPr>
      </w:pPr>
      <w:r>
        <w:rPr>
          <w:b/>
          <w:bCs/>
        </w:rPr>
        <w:t xml:space="preserve">РАЗМЕРЫ И УСЛОВИЯ ОПЛАТЫ ТРУДА ЛИЦАМ, ЗАМЕЩАЮЩИМ МУНИЦИПАЛЬНЫЕ ДОЛЖНОСТИ НА ПОСТОЯННОЙ ОСНОВЕ СЕЛЬСКОГО ПОСЕЛЕНИЯ </w:t>
      </w:r>
    </w:p>
    <w:tbl>
      <w:tblPr>
        <w:tblW w:w="9720" w:type="dxa"/>
        <w:jc w:val="left"/>
        <w:tblInd w:w="70" w:type="dxa"/>
        <w:tblLayout w:type="fixed"/>
        <w:tblCellMar>
          <w:top w:w="0" w:type="dxa"/>
          <w:left w:w="70" w:type="dxa"/>
          <w:bottom w:w="0" w:type="dxa"/>
          <w:right w:w="70" w:type="dxa"/>
        </w:tblCellMar>
        <w:tblLook w:val="0000" w:noHBand="0" w:noVBand="0" w:firstColumn="0" w:lastRow="0" w:lastColumn="0" w:firstRow="0"/>
      </w:tblPr>
      <w:tblGrid>
        <w:gridCol w:w="4107"/>
        <w:gridCol w:w="1418"/>
        <w:gridCol w:w="1417"/>
        <w:gridCol w:w="1422"/>
        <w:gridCol w:w="1356"/>
      </w:tblGrid>
      <w:tr>
        <w:trPr>
          <w:trHeight w:val="240" w:hRule="atLeast"/>
          <w:cantSplit w:val="true"/>
        </w:trPr>
        <w:tc>
          <w:tcPr>
            <w:tcW w:w="4107"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sz w:val="28"/>
                <w:szCs w:val="28"/>
              </w:rPr>
            </w:pPr>
            <w:r>
              <w:rPr>
                <w:sz w:val="28"/>
                <w:szCs w:val="28"/>
              </w:rPr>
              <w:t>Наименование должности</w:t>
            </w:r>
          </w:p>
        </w:tc>
        <w:tc>
          <w:tcPr>
            <w:tcW w:w="5613" w:type="dxa"/>
            <w:gridSpan w:val="4"/>
            <w:tcBorders>
              <w:top w:val="single" w:sz="6" w:space="0" w:color="000000"/>
              <w:left w:val="single" w:sz="6" w:space="0" w:color="000000"/>
              <w:bottom w:val="single" w:sz="6" w:space="0" w:color="000000"/>
              <w:right w:val="single" w:sz="6" w:space="0" w:color="000000"/>
            </w:tcBorders>
          </w:tcPr>
          <w:p>
            <w:pPr>
              <w:pStyle w:val="Normal"/>
              <w:jc w:val="center"/>
              <w:rPr>
                <w:sz w:val="28"/>
                <w:szCs w:val="28"/>
              </w:rPr>
            </w:pPr>
            <w:r>
              <w:rPr>
                <w:sz w:val="28"/>
                <w:szCs w:val="28"/>
              </w:rPr>
              <w:t>Размеры денежного вознаграждения (в рублях)</w:t>
            </w:r>
          </w:p>
        </w:tc>
      </w:tr>
      <w:tr>
        <w:trPr>
          <w:trHeight w:val="240" w:hRule="atLeast"/>
          <w:cantSplit w:val="true"/>
        </w:trPr>
        <w:tc>
          <w:tcPr>
            <w:tcW w:w="4107" w:type="dxa"/>
            <w:vMerge w:val="continue"/>
            <w:tcBorders>
              <w:left w:val="single" w:sz="6" w:space="0" w:color="000000"/>
              <w:bottom w:val="single" w:sz="6" w:space="0" w:color="000000"/>
              <w:right w:val="single" w:sz="6" w:space="0" w:color="000000"/>
            </w:tcBorders>
          </w:tcPr>
          <w:p>
            <w:pPr>
              <w:pStyle w:val="Normal"/>
              <w:jc w:val="right"/>
              <w:rPr>
                <w:sz w:val="28"/>
                <w:szCs w:val="28"/>
              </w:rPr>
            </w:pPr>
            <w:r>
              <w:rPr>
                <w:sz w:val="28"/>
                <w:szCs w:val="28"/>
              </w:rPr>
            </w:r>
          </w:p>
        </w:tc>
        <w:tc>
          <w:tcPr>
            <w:tcW w:w="1418" w:type="dxa"/>
            <w:tcBorders>
              <w:top w:val="single" w:sz="6" w:space="0" w:color="000000"/>
              <w:left w:val="single" w:sz="6" w:space="0" w:color="000000"/>
              <w:bottom w:val="single" w:sz="6" w:space="0" w:color="000000"/>
              <w:right w:val="single" w:sz="4" w:space="0" w:color="000000"/>
            </w:tcBorders>
          </w:tcPr>
          <w:p>
            <w:pPr>
              <w:pStyle w:val="Normal"/>
              <w:jc w:val="right"/>
              <w:rPr>
                <w:sz w:val="28"/>
                <w:szCs w:val="28"/>
              </w:rPr>
            </w:pPr>
            <w:r>
              <w:rPr>
                <w:sz w:val="28"/>
                <w:szCs w:val="28"/>
              </w:rPr>
              <w:t>8 группа</w:t>
            </w:r>
          </w:p>
        </w:tc>
        <w:tc>
          <w:tcPr>
            <w:tcW w:w="1417" w:type="dxa"/>
            <w:tcBorders>
              <w:top w:val="single" w:sz="6" w:space="0" w:color="000000"/>
              <w:left w:val="single" w:sz="4" w:space="0" w:color="000000"/>
              <w:bottom w:val="single" w:sz="6" w:space="0" w:color="000000"/>
              <w:right w:val="single" w:sz="6" w:space="0" w:color="000000"/>
            </w:tcBorders>
          </w:tcPr>
          <w:p>
            <w:pPr>
              <w:pStyle w:val="Normal"/>
              <w:jc w:val="right"/>
              <w:rPr>
                <w:sz w:val="28"/>
                <w:szCs w:val="28"/>
              </w:rPr>
            </w:pPr>
            <w:r>
              <w:rPr>
                <w:sz w:val="28"/>
                <w:szCs w:val="28"/>
              </w:rPr>
              <w:t>10 группа</w:t>
            </w:r>
          </w:p>
        </w:tc>
        <w:tc>
          <w:tcPr>
            <w:tcW w:w="1422" w:type="dxa"/>
            <w:tcBorders>
              <w:top w:val="single" w:sz="6" w:space="0" w:color="000000"/>
              <w:left w:val="single" w:sz="6" w:space="0" w:color="000000"/>
              <w:bottom w:val="single" w:sz="6" w:space="0" w:color="000000"/>
              <w:right w:val="single" w:sz="6" w:space="0" w:color="000000"/>
            </w:tcBorders>
          </w:tcPr>
          <w:p>
            <w:pPr>
              <w:pStyle w:val="Normal"/>
              <w:jc w:val="right"/>
              <w:rPr>
                <w:sz w:val="28"/>
                <w:szCs w:val="28"/>
              </w:rPr>
            </w:pPr>
            <w:r>
              <w:rPr>
                <w:sz w:val="28"/>
                <w:szCs w:val="28"/>
              </w:rPr>
              <w:t>11 группа</w:t>
            </w:r>
          </w:p>
        </w:tc>
        <w:tc>
          <w:tcPr>
            <w:tcW w:w="1356" w:type="dxa"/>
            <w:tcBorders>
              <w:top w:val="single" w:sz="6" w:space="0" w:color="000000"/>
              <w:left w:val="single" w:sz="6" w:space="0" w:color="000000"/>
              <w:bottom w:val="single" w:sz="6" w:space="0" w:color="000000"/>
              <w:right w:val="single" w:sz="6" w:space="0" w:color="000000"/>
            </w:tcBorders>
          </w:tcPr>
          <w:p>
            <w:pPr>
              <w:pStyle w:val="Normal"/>
              <w:jc w:val="right"/>
              <w:rPr>
                <w:sz w:val="28"/>
                <w:szCs w:val="28"/>
              </w:rPr>
            </w:pPr>
            <w:r>
              <w:rPr>
                <w:sz w:val="28"/>
                <w:szCs w:val="28"/>
              </w:rPr>
              <w:t>12 группа</w:t>
            </w:r>
          </w:p>
        </w:tc>
      </w:tr>
      <w:tr>
        <w:trPr>
          <w:trHeight w:val="542" w:hRule="atLeast"/>
          <w:cantSplit w:val="true"/>
        </w:trPr>
        <w:tc>
          <w:tcPr>
            <w:tcW w:w="4107" w:type="dxa"/>
            <w:tcBorders>
              <w:top w:val="single" w:sz="6" w:space="0" w:color="000000"/>
              <w:left w:val="single" w:sz="6" w:space="0" w:color="000000"/>
              <w:bottom w:val="single" w:sz="6" w:space="0" w:color="000000"/>
              <w:right w:val="single" w:sz="6" w:space="0" w:color="000000"/>
            </w:tcBorders>
          </w:tcPr>
          <w:p>
            <w:pPr>
              <w:pStyle w:val="Normal"/>
              <w:rPr>
                <w:sz w:val="28"/>
                <w:szCs w:val="28"/>
              </w:rPr>
            </w:pPr>
            <w:r>
              <w:rPr>
                <w:sz w:val="28"/>
                <w:szCs w:val="28"/>
              </w:rPr>
              <w:t>Глава сельского поселения</w:t>
            </w:r>
          </w:p>
        </w:tc>
        <w:tc>
          <w:tcPr>
            <w:tcW w:w="1418" w:type="dxa"/>
            <w:tcBorders>
              <w:top w:val="single" w:sz="6" w:space="0" w:color="000000"/>
              <w:left w:val="single" w:sz="6" w:space="0" w:color="000000"/>
              <w:bottom w:val="single" w:sz="6" w:space="0" w:color="000000"/>
              <w:right w:val="single" w:sz="4" w:space="0" w:color="000000"/>
            </w:tcBorders>
          </w:tcPr>
          <w:p>
            <w:pPr>
              <w:pStyle w:val="Normal"/>
              <w:jc w:val="right"/>
              <w:rPr>
                <w:sz w:val="28"/>
                <w:szCs w:val="28"/>
              </w:rPr>
            </w:pPr>
            <w:r>
              <w:rPr>
                <w:sz w:val="28"/>
                <w:szCs w:val="28"/>
              </w:rPr>
            </w:r>
          </w:p>
        </w:tc>
        <w:tc>
          <w:tcPr>
            <w:tcW w:w="1417" w:type="dxa"/>
            <w:tcBorders>
              <w:top w:val="single" w:sz="6" w:space="0" w:color="000000"/>
              <w:left w:val="single" w:sz="4" w:space="0" w:color="000000"/>
              <w:bottom w:val="single" w:sz="6" w:space="0" w:color="000000"/>
              <w:right w:val="single" w:sz="6" w:space="0" w:color="000000"/>
            </w:tcBorders>
          </w:tcPr>
          <w:p>
            <w:pPr>
              <w:pStyle w:val="Normal"/>
              <w:jc w:val="center"/>
              <w:rPr>
                <w:sz w:val="28"/>
                <w:szCs w:val="28"/>
                <w:lang w:val="en-US"/>
              </w:rPr>
            </w:pPr>
            <w:r>
              <w:rPr>
                <w:sz w:val="28"/>
                <w:szCs w:val="28"/>
                <w:lang w:val="en-US"/>
              </w:rPr>
            </w:r>
          </w:p>
        </w:tc>
        <w:tc>
          <w:tcPr>
            <w:tcW w:w="1422" w:type="dxa"/>
            <w:tcBorders>
              <w:top w:val="single" w:sz="6" w:space="0" w:color="000000"/>
              <w:left w:val="single" w:sz="6" w:space="0" w:color="000000"/>
              <w:bottom w:val="single" w:sz="6" w:space="0" w:color="000000"/>
              <w:right w:val="single" w:sz="6" w:space="0" w:color="000000"/>
            </w:tcBorders>
          </w:tcPr>
          <w:p>
            <w:pPr>
              <w:pStyle w:val="ConsPlusCell"/>
              <w:jc w:val="center"/>
              <w:rPr>
                <w:rFonts w:ascii="Times New Roman" w:hAnsi="Times New Roman" w:cs="Times New Roman"/>
                <w:sz w:val="28"/>
                <w:szCs w:val="28"/>
              </w:rPr>
            </w:pPr>
            <w:r>
              <w:rPr>
                <w:rFonts w:cs="Times New Roman" w:ascii="Times New Roman" w:hAnsi="Times New Roman"/>
                <w:sz w:val="28"/>
                <w:szCs w:val="28"/>
              </w:rPr>
            </w:r>
          </w:p>
        </w:tc>
        <w:tc>
          <w:tcPr>
            <w:tcW w:w="1356" w:type="dxa"/>
            <w:tcBorders>
              <w:top w:val="single" w:sz="6" w:space="0" w:color="000000"/>
              <w:left w:val="single" w:sz="6" w:space="0" w:color="000000"/>
              <w:bottom w:val="single" w:sz="6" w:space="0" w:color="000000"/>
              <w:right w:val="single" w:sz="6" w:space="0" w:color="000000"/>
            </w:tcBorders>
          </w:tcPr>
          <w:p>
            <w:pPr>
              <w:pStyle w:val="ConsPlusCell"/>
              <w:jc w:val="center"/>
              <w:rPr>
                <w:rFonts w:ascii="Times New Roman" w:hAnsi="Times New Roman" w:cs="Times New Roman"/>
                <w:sz w:val="28"/>
                <w:szCs w:val="28"/>
              </w:rPr>
            </w:pPr>
            <w:r>
              <w:rPr>
                <w:rFonts w:cs="Times New Roman" w:ascii="Times New Roman" w:hAnsi="Times New Roman"/>
                <w:sz w:val="28"/>
                <w:szCs w:val="28"/>
              </w:rPr>
              <w:t>11 701</w:t>
            </w:r>
          </w:p>
        </w:tc>
      </w:tr>
    </w:tbl>
    <w:p>
      <w:pPr>
        <w:pStyle w:val="Normal"/>
        <w:ind w:firstLine="540"/>
        <w:jc w:val="both"/>
        <w:rPr>
          <w:sz w:val="28"/>
          <w:szCs w:val="28"/>
        </w:rPr>
      </w:pPr>
      <w:r>
        <w:rPr>
          <w:sz w:val="28"/>
          <w:szCs w:val="28"/>
        </w:rPr>
      </w:r>
    </w:p>
    <w:p>
      <w:pPr>
        <w:pStyle w:val="Normal"/>
        <w:ind w:firstLine="720"/>
        <w:jc w:val="both"/>
        <w:rPr>
          <w:sz w:val="28"/>
          <w:szCs w:val="28"/>
        </w:rPr>
      </w:pPr>
      <w:r>
        <w:rPr>
          <w:sz w:val="28"/>
          <w:szCs w:val="28"/>
        </w:rPr>
        <w:t>Для определения размера денежного вознаграждения главы муниципального образования, депутатов, членов выборных органов местного самоуправления, осуществляющих свои полномочия на постоянной основе, и должностных окладов муниципальных служащих вводятся показатели отнесения муниципальных образований Республики Татарстан к группам оплаты труда в зависимости от статуса соответствующего муниципального образования и численности постоянно проживающего на его территории населения.</w:t>
      </w:r>
    </w:p>
    <w:p>
      <w:pPr>
        <w:pStyle w:val="Normal"/>
        <w:jc w:val="both"/>
        <w:rPr>
          <w:sz w:val="28"/>
          <w:szCs w:val="28"/>
        </w:rPr>
      </w:pPr>
      <w:r>
        <w:rPr>
          <w:sz w:val="28"/>
          <w:szCs w:val="28"/>
        </w:rPr>
        <w:t xml:space="preserve">       </w:t>
      </w:r>
      <w:r>
        <w:rPr>
          <w:sz w:val="28"/>
          <w:szCs w:val="28"/>
        </w:rPr>
        <w:t xml:space="preserve">В зависимости от указанных показателей Новобурундуковское сельское поселение относится к двенадцатой группе - муниципальные образования с численностью населения до 1,5 тыс. человек. </w:t>
      </w:r>
    </w:p>
    <w:p>
      <w:pPr>
        <w:pStyle w:val="Normal"/>
        <w:ind w:firstLine="540"/>
        <w:jc w:val="both"/>
        <w:rPr>
          <w:sz w:val="28"/>
          <w:szCs w:val="28"/>
        </w:rPr>
      </w:pPr>
      <w:r>
        <w:rPr>
          <w:sz w:val="28"/>
          <w:szCs w:val="28"/>
        </w:rPr>
        <w:t>Лицу, замещающему муниципальную должность на постоянной основе, помимо ежемесячного денежного вознаграждения устанавливаются:</w:t>
      </w:r>
    </w:p>
    <w:p>
      <w:pPr>
        <w:pStyle w:val="Normal"/>
        <w:ind w:firstLine="567"/>
        <w:jc w:val="both"/>
        <w:rPr>
          <w:sz w:val="28"/>
          <w:szCs w:val="28"/>
        </w:rPr>
      </w:pPr>
      <w:r>
        <w:rPr>
          <w:sz w:val="28"/>
          <w:szCs w:val="28"/>
        </w:rPr>
        <w:t>1) ежемесячное денежное поощрение;</w:t>
      </w:r>
    </w:p>
    <w:p>
      <w:pPr>
        <w:pStyle w:val="Normal"/>
        <w:ind w:firstLine="567"/>
        <w:jc w:val="both"/>
        <w:rPr>
          <w:sz w:val="28"/>
          <w:szCs w:val="28"/>
        </w:rPr>
      </w:pPr>
      <w:r>
        <w:rPr>
          <w:sz w:val="28"/>
          <w:szCs w:val="28"/>
        </w:rPr>
        <w:t>2) единовременная выплата при предоставлении ежегодного оплачиваемого отпуска;</w:t>
      </w:r>
    </w:p>
    <w:p>
      <w:pPr>
        <w:pStyle w:val="Normal"/>
        <w:ind w:firstLine="567"/>
        <w:jc w:val="both"/>
        <w:rPr>
          <w:sz w:val="28"/>
          <w:szCs w:val="28"/>
        </w:rPr>
      </w:pPr>
      <w:r>
        <w:rPr>
          <w:sz w:val="28"/>
          <w:szCs w:val="28"/>
        </w:rPr>
        <w:t>3) премия по результатам работы;</w:t>
      </w:r>
    </w:p>
    <w:p>
      <w:pPr>
        <w:pStyle w:val="Normal"/>
        <w:ind w:firstLine="567"/>
        <w:jc w:val="both"/>
        <w:rPr>
          <w:sz w:val="28"/>
          <w:szCs w:val="28"/>
        </w:rPr>
      </w:pPr>
      <w:r>
        <w:rPr>
          <w:sz w:val="28"/>
          <w:szCs w:val="28"/>
        </w:rPr>
        <w:t>4) иные выплаты в соответствии с муниципальными правовыми актами.</w:t>
      </w:r>
    </w:p>
    <w:p>
      <w:pPr>
        <w:pStyle w:val="Normal"/>
        <w:ind w:firstLine="540"/>
        <w:jc w:val="both"/>
        <w:rPr>
          <w:sz w:val="28"/>
          <w:szCs w:val="28"/>
        </w:rPr>
      </w:pPr>
      <w:r>
        <w:rPr>
          <w:sz w:val="28"/>
          <w:szCs w:val="28"/>
        </w:rPr>
        <w:t xml:space="preserve">Главе сельского поселения помимо ежемесячного денежного вознаграждения, выплачивается ежемесячное денежное поощрение в размере, не превышающем одиннадцати месячных денежных вознаграждений в год. </w:t>
      </w:r>
    </w:p>
    <w:p>
      <w:pPr>
        <w:pStyle w:val="Normal"/>
        <w:jc w:val="both"/>
        <w:rPr>
          <w:sz w:val="28"/>
          <w:szCs w:val="28"/>
        </w:rPr>
      </w:pPr>
      <w:r>
        <w:rPr>
          <w:sz w:val="28"/>
          <w:szCs w:val="28"/>
        </w:rPr>
        <w:t xml:space="preserve">       </w:t>
      </w:r>
      <w:r>
        <w:rPr>
          <w:sz w:val="28"/>
          <w:szCs w:val="28"/>
        </w:rPr>
        <w:t>Ежемесячная надбавка за выслугу лет к ежемесячному вознаграждению главы сельского поселения устанавливается в размерах, не превышающих:</w:t>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tbl>
      <w:tblPr>
        <w:tblW w:w="9639"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500"/>
        <w:gridCol w:w="5138"/>
      </w:tblGrid>
      <w:tr>
        <w:trPr>
          <w:trHeight w:val="525" w:hRule="atLeast"/>
        </w:trPr>
        <w:tc>
          <w:tcPr>
            <w:tcW w:w="4500"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при стаже муниципальной службы</w:t>
            </w:r>
          </w:p>
        </w:tc>
        <w:tc>
          <w:tcPr>
            <w:tcW w:w="513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предельный размер надбавки, в %</w:t>
            </w:r>
          </w:p>
        </w:tc>
      </w:tr>
      <w:tr>
        <w:trPr>
          <w:trHeight w:val="360" w:hRule="atLeast"/>
        </w:trPr>
        <w:tc>
          <w:tcPr>
            <w:tcW w:w="4500"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1 года до 5 лет</w:t>
            </w:r>
          </w:p>
        </w:tc>
        <w:tc>
          <w:tcPr>
            <w:tcW w:w="513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5</w:t>
            </w:r>
          </w:p>
        </w:tc>
      </w:tr>
      <w:tr>
        <w:trPr>
          <w:trHeight w:val="165" w:hRule="atLeast"/>
        </w:trPr>
        <w:tc>
          <w:tcPr>
            <w:tcW w:w="4500"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от 5 до 10 лет</w:t>
            </w:r>
          </w:p>
        </w:tc>
        <w:tc>
          <w:tcPr>
            <w:tcW w:w="513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10</w:t>
            </w:r>
          </w:p>
        </w:tc>
      </w:tr>
      <w:tr>
        <w:trPr>
          <w:trHeight w:val="315" w:hRule="atLeast"/>
        </w:trPr>
        <w:tc>
          <w:tcPr>
            <w:tcW w:w="4500"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от 10 до 15 лет</w:t>
            </w:r>
          </w:p>
        </w:tc>
        <w:tc>
          <w:tcPr>
            <w:tcW w:w="513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15</w:t>
            </w:r>
          </w:p>
        </w:tc>
      </w:tr>
      <w:tr>
        <w:trPr>
          <w:trHeight w:val="396" w:hRule="atLeast"/>
        </w:trPr>
        <w:tc>
          <w:tcPr>
            <w:tcW w:w="4500"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свыше 15 лет</w:t>
            </w:r>
          </w:p>
        </w:tc>
        <w:tc>
          <w:tcPr>
            <w:tcW w:w="513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20</w:t>
            </w:r>
          </w:p>
        </w:tc>
      </w:tr>
    </w:tbl>
    <w:p>
      <w:pPr>
        <w:pStyle w:val="Normal"/>
        <w:jc w:val="center"/>
        <w:rPr>
          <w:b/>
          <w:sz w:val="28"/>
          <w:szCs w:val="28"/>
        </w:rPr>
      </w:pPr>
      <w:r>
        <w:rPr>
          <w:b/>
          <w:sz w:val="28"/>
          <w:szCs w:val="28"/>
        </w:rPr>
      </w:r>
    </w:p>
    <w:p>
      <w:pPr>
        <w:pStyle w:val="Normal"/>
        <w:ind w:firstLine="567"/>
        <w:jc w:val="both"/>
        <w:rPr>
          <w:sz w:val="28"/>
          <w:szCs w:val="28"/>
        </w:rPr>
      </w:pPr>
      <w:r>
        <w:rPr>
          <w:sz w:val="28"/>
          <w:szCs w:val="28"/>
        </w:rPr>
        <w:t>Размер расходов на выплату ежемесячной надбавки за выслугу лет не может превышать норматив, составляющий три ежемесячных денежных вознаграждения по соответствующей должности в год.</w:t>
      </w:r>
    </w:p>
    <w:p>
      <w:pPr>
        <w:pStyle w:val="Normal"/>
        <w:ind w:firstLine="540"/>
        <w:jc w:val="both"/>
        <w:rPr>
          <w:sz w:val="28"/>
          <w:szCs w:val="28"/>
        </w:rPr>
      </w:pPr>
      <w:r>
        <w:rPr>
          <w:sz w:val="28"/>
          <w:szCs w:val="28"/>
        </w:rPr>
        <w:t>Единовременная выплата при предоставлении ежегодного оплачиваемого отпуска главе муниципального образования, выплачивается в размере, не превышающем одного месячного денежного вознаграждения в год.</w:t>
      </w:r>
    </w:p>
    <w:p>
      <w:pPr>
        <w:pStyle w:val="Normal"/>
        <w:ind w:firstLine="540"/>
        <w:jc w:val="both"/>
        <w:rPr>
          <w:sz w:val="28"/>
          <w:szCs w:val="28"/>
        </w:rPr>
      </w:pPr>
      <w:r>
        <w:rPr>
          <w:sz w:val="28"/>
          <w:szCs w:val="28"/>
        </w:rPr>
        <w:t>Иные выплаты могут выплачиваться при рождении ребенка, к торжественной, юбилейной дате, а также при тяжелой болезни, смерти и других несчастных случаях выборного должностного лица и его близких родственников. Иные выплаты производятся за счет экономии фонда оплаты труда, основанием для выплаты является правовой акт руководителя органа местного самоуправления (муниципального органа).</w:t>
      </w:r>
    </w:p>
    <w:p>
      <w:pPr>
        <w:pStyle w:val="Normal"/>
        <w:ind w:firstLine="540"/>
        <w:jc w:val="both"/>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t xml:space="preserve">                                                                        </w:t>
      </w:r>
    </w:p>
    <w:p>
      <w:pPr>
        <w:pStyle w:val="Normal"/>
        <w:numPr>
          <w:ilvl w:val="0"/>
          <w:numId w:val="0"/>
        </w:numPr>
        <w:ind w:hanging="0" w:left="0"/>
        <w:jc w:val="right"/>
        <w:outlineLvl w:val="0"/>
        <w:rPr>
          <w:sz w:val="28"/>
          <w:szCs w:val="28"/>
        </w:rPr>
      </w:pPr>
      <w:r>
        <w:rPr>
          <w:sz w:val="28"/>
          <w:szCs w:val="28"/>
        </w:rPr>
      </w:r>
    </w:p>
    <w:p>
      <w:pPr>
        <w:pStyle w:val="Normal"/>
        <w:rPr>
          <w:sz w:val="28"/>
        </w:rPr>
      </w:pPr>
      <w:r>
        <w:rPr>
          <w:sz w:val="28"/>
        </w:rPr>
        <w:t xml:space="preserve">Глава Новобурундуковского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 xml:space="preserve">                В.Г.Ранцев</w:t>
      </w:r>
    </w:p>
    <w:p>
      <w:pPr>
        <w:pStyle w:val="Normal"/>
        <w:numPr>
          <w:ilvl w:val="0"/>
          <w:numId w:val="0"/>
        </w:numPr>
        <w:tabs>
          <w:tab w:val="clear" w:pos="708"/>
          <w:tab w:val="left" w:pos="720" w:leader="none"/>
        </w:tabs>
        <w:ind w:hanging="0" w:left="0"/>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ConsPlusNormal"/>
        <w:numPr>
          <w:ilvl w:val="0"/>
          <w:numId w:val="0"/>
        </w:numPr>
        <w:ind w:hanging="0" w:left="6521"/>
        <w:outlineLvl w:val="0"/>
        <w:rPr>
          <w:rFonts w:ascii="Times New Roman" w:hAnsi="Times New Roman" w:cs="Times New Roman"/>
          <w:sz w:val="28"/>
          <w:szCs w:val="28"/>
        </w:rPr>
      </w:pPr>
      <w:r>
        <w:rPr>
          <w:rFonts w:cs="Times New Roman" w:ascii="Times New Roman" w:hAnsi="Times New Roman"/>
          <w:sz w:val="28"/>
          <w:szCs w:val="28"/>
        </w:rPr>
        <w:t>Приложение № 2</w:t>
      </w:r>
    </w:p>
    <w:p>
      <w:pPr>
        <w:pStyle w:val="ConsPlusNormal"/>
        <w:numPr>
          <w:ilvl w:val="0"/>
          <w:numId w:val="0"/>
        </w:numPr>
        <w:ind w:hanging="0" w:left="6521"/>
        <w:outlineLvl w:val="0"/>
        <w:rPr>
          <w:rFonts w:ascii="Times New Roman" w:hAnsi="Times New Roman" w:cs="Times New Roman"/>
          <w:sz w:val="28"/>
          <w:szCs w:val="28"/>
        </w:rPr>
      </w:pPr>
      <w:r>
        <w:rPr>
          <w:rFonts w:cs="Times New Roman" w:ascii="Times New Roman" w:hAnsi="Times New Roman"/>
          <w:sz w:val="28"/>
          <w:szCs w:val="28"/>
        </w:rPr>
        <w:t>Утверждены</w:t>
      </w:r>
    </w:p>
    <w:p>
      <w:pPr>
        <w:pStyle w:val="ConsPlusNormal"/>
        <w:ind w:left="6521"/>
        <w:rPr>
          <w:rFonts w:ascii="Times New Roman" w:hAnsi="Times New Roman" w:cs="Times New Roman"/>
          <w:sz w:val="28"/>
          <w:szCs w:val="28"/>
        </w:rPr>
      </w:pPr>
      <w:r>
        <w:rPr>
          <w:rFonts w:cs="Times New Roman" w:ascii="Times New Roman" w:hAnsi="Times New Roman"/>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ConsPlusTitle"/>
        <w:widowControl/>
        <w:jc w:val="center"/>
        <w:rPr>
          <w:b w:val="false"/>
          <w:sz w:val="28"/>
          <w:szCs w:val="28"/>
        </w:rPr>
      </w:pPr>
      <w:r>
        <w:rPr>
          <w:b w:val="false"/>
          <w:sz w:val="28"/>
          <w:szCs w:val="28"/>
        </w:rPr>
      </w:r>
    </w:p>
    <w:p>
      <w:pPr>
        <w:pStyle w:val="ConsPlusTitle"/>
        <w:widowControl/>
        <w:jc w:val="center"/>
        <w:rPr>
          <w:b w:val="false"/>
          <w:sz w:val="28"/>
          <w:szCs w:val="28"/>
        </w:rPr>
      </w:pPr>
      <w:r>
        <w:rPr>
          <w:b w:val="false"/>
          <w:sz w:val="28"/>
          <w:szCs w:val="28"/>
        </w:rPr>
      </w:r>
    </w:p>
    <w:p>
      <w:pPr>
        <w:pStyle w:val="Normal"/>
        <w:jc w:val="center"/>
        <w:rPr>
          <w:b/>
          <w:bCs/>
          <w:szCs w:val="28"/>
        </w:rPr>
      </w:pPr>
      <w:r>
        <w:rPr>
          <w:b/>
          <w:bCs/>
          <w:szCs w:val="28"/>
        </w:rPr>
        <w:t xml:space="preserve">РАЗМЕРЫ </w:t>
      </w:r>
    </w:p>
    <w:p>
      <w:pPr>
        <w:pStyle w:val="Normal"/>
        <w:jc w:val="center"/>
        <w:rPr>
          <w:b/>
          <w:bCs/>
          <w:szCs w:val="28"/>
        </w:rPr>
      </w:pPr>
      <w:r>
        <w:rPr>
          <w:b/>
          <w:bCs/>
          <w:szCs w:val="28"/>
        </w:rPr>
        <w:t>ДОЛЖНОСТНОГО ОКЛАДА  МУНИЦИПАЛЬНОГО  СЛУЖАЩЕГО НОВОБУРУНДУКОВСКОГО СЕЛЬСКОГО ПОСЕЛЕНИЯ  ДРОЖЖАНОВСКОГО МУНИЦИПАЛЬНОГО РАЙОНА РЕСПУБЛИКИ ТАТАРСТАН</w:t>
      </w:r>
    </w:p>
    <w:p>
      <w:pPr>
        <w:pStyle w:val="Normal"/>
        <w:jc w:val="center"/>
        <w:rPr>
          <w:b/>
          <w:sz w:val="22"/>
        </w:rPr>
      </w:pPr>
      <w:r>
        <w:rPr>
          <w:b/>
          <w:sz w:val="22"/>
        </w:rPr>
      </w:r>
    </w:p>
    <w:p>
      <w:pPr>
        <w:pStyle w:val="Normal"/>
        <w:jc w:val="center"/>
        <w:rPr/>
      </w:pPr>
      <w:r>
        <w:rPr/>
      </w:r>
    </w:p>
    <w:tbl>
      <w:tblPr>
        <w:tblW w:w="9720"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851"/>
        <w:gridCol w:w="3827"/>
        <w:gridCol w:w="1701"/>
        <w:gridCol w:w="1701"/>
        <w:gridCol w:w="1640"/>
      </w:tblGrid>
      <w:tr>
        <w:trPr>
          <w:trHeight w:val="447" w:hRule="atLeast"/>
        </w:trPr>
        <w:tc>
          <w:tcPr>
            <w:tcW w:w="85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r>
          </w:p>
          <w:p>
            <w:pPr>
              <w:pStyle w:val="Normal"/>
              <w:jc w:val="center"/>
              <w:rPr/>
            </w:pPr>
            <w:r>
              <w:rPr/>
            </w:r>
          </w:p>
          <w:p>
            <w:pPr>
              <w:pStyle w:val="Normal"/>
              <w:jc w:val="center"/>
              <w:rPr/>
            </w:pPr>
            <w:r>
              <w:rPr/>
            </w:r>
          </w:p>
        </w:tc>
        <w:tc>
          <w:tcPr>
            <w:tcW w:w="3827"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r>
          </w:p>
          <w:p>
            <w:pPr>
              <w:pStyle w:val="Normal"/>
              <w:jc w:val="center"/>
              <w:rPr>
                <w:sz w:val="28"/>
                <w:szCs w:val="28"/>
              </w:rPr>
            </w:pPr>
            <w:r>
              <w:rPr>
                <w:sz w:val="28"/>
                <w:szCs w:val="28"/>
              </w:rPr>
              <w:t>Наименование должностей</w:t>
            </w:r>
          </w:p>
          <w:p>
            <w:pPr>
              <w:pStyle w:val="Normal"/>
              <w:jc w:val="center"/>
              <w:rPr>
                <w:sz w:val="28"/>
                <w:szCs w:val="28"/>
              </w:rPr>
            </w:pPr>
            <w:r>
              <w:rPr>
                <w:sz w:val="28"/>
                <w:szCs w:val="28"/>
              </w:rPr>
            </w:r>
          </w:p>
        </w:tc>
        <w:tc>
          <w:tcPr>
            <w:tcW w:w="5042" w:type="dxa"/>
            <w:gridSpan w:val="3"/>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Должностной оклад</w:t>
            </w:r>
          </w:p>
        </w:tc>
      </w:tr>
      <w:tr>
        <w:trPr>
          <w:trHeight w:val="300" w:hRule="atLeast"/>
        </w:trPr>
        <w:tc>
          <w:tcPr>
            <w:tcW w:w="85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3827"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r>
          </w:p>
        </w:tc>
        <w:tc>
          <w:tcPr>
            <w:tcW w:w="1701"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10 группа</w:t>
            </w:r>
          </w:p>
        </w:tc>
        <w:tc>
          <w:tcPr>
            <w:tcW w:w="1701"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11 группа</w:t>
            </w:r>
          </w:p>
        </w:tc>
        <w:tc>
          <w:tcPr>
            <w:tcW w:w="1640"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12 группа</w:t>
            </w:r>
          </w:p>
        </w:tc>
      </w:tr>
      <w:tr>
        <w:trPr>
          <w:trHeight w:val="343" w:hRule="atLeast"/>
        </w:trPr>
        <w:tc>
          <w:tcPr>
            <w:tcW w:w="851" w:type="dxa"/>
            <w:tcBorders>
              <w:top w:val="single" w:sz="4" w:space="0" w:color="000000"/>
              <w:left w:val="single" w:sz="4" w:space="0" w:color="000000"/>
              <w:bottom w:val="single" w:sz="4" w:space="0" w:color="000000"/>
              <w:right w:val="single" w:sz="4" w:space="0" w:color="000000"/>
            </w:tcBorders>
          </w:tcPr>
          <w:p>
            <w:pPr>
              <w:pStyle w:val="Normal"/>
              <w:jc w:val="center"/>
              <w:rPr>
                <w:sz w:val="28"/>
              </w:rPr>
            </w:pPr>
            <w:r>
              <w:rPr>
                <w:sz w:val="28"/>
              </w:rPr>
              <w:t>2.</w:t>
            </w:r>
          </w:p>
        </w:tc>
        <w:tc>
          <w:tcPr>
            <w:tcW w:w="3827"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Секретарь Исполнительного комитета</w:t>
            </w:r>
          </w:p>
        </w:tc>
        <w:tc>
          <w:tcPr>
            <w:tcW w:w="1701" w:type="dxa"/>
            <w:tcBorders>
              <w:top w:val="single" w:sz="4" w:space="0" w:color="000000"/>
              <w:left w:val="single" w:sz="4" w:space="0" w:color="000000"/>
              <w:bottom w:val="single" w:sz="4" w:space="0" w:color="000000"/>
              <w:right w:val="single" w:sz="4" w:space="0" w:color="000000"/>
            </w:tcBorders>
          </w:tcPr>
          <w:p>
            <w:pPr>
              <w:pStyle w:val="Normal"/>
              <w:jc w:val="center"/>
              <w:rPr>
                <w:color w:val="000000"/>
                <w:sz w:val="28"/>
                <w:szCs w:val="28"/>
              </w:rPr>
            </w:pPr>
            <w:r>
              <w:rPr>
                <w:color w:val="000000"/>
                <w:sz w:val="28"/>
                <w:szCs w:val="28"/>
              </w:rPr>
              <w:t>-</w:t>
            </w:r>
          </w:p>
        </w:tc>
        <w:tc>
          <w:tcPr>
            <w:tcW w:w="1701"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w:t>
            </w:r>
          </w:p>
        </w:tc>
        <w:tc>
          <w:tcPr>
            <w:tcW w:w="1640"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14 847</w:t>
            </w:r>
          </w:p>
          <w:p>
            <w:pPr>
              <w:pStyle w:val="Normal"/>
              <w:jc w:val="center"/>
              <w:rPr>
                <w:sz w:val="28"/>
                <w:szCs w:val="28"/>
              </w:rPr>
            </w:pPr>
            <w:r>
              <w:rPr>
                <w:sz w:val="28"/>
                <w:szCs w:val="28"/>
              </w:rPr>
            </w:r>
          </w:p>
        </w:tc>
      </w:tr>
    </w:tbl>
    <w:p>
      <w:pPr>
        <w:pStyle w:val="Normal"/>
        <w:jc w:val="center"/>
        <w:rPr/>
      </w:pPr>
      <w:r>
        <w:rPr/>
      </w:r>
    </w:p>
    <w:p>
      <w:pPr>
        <w:pStyle w:val="Normal"/>
        <w:jc w:val="center"/>
        <w:rPr>
          <w:b/>
        </w:rPr>
      </w:pPr>
      <w:r>
        <w:rPr>
          <w:b/>
        </w:rPr>
      </w:r>
    </w:p>
    <w:p>
      <w:pPr>
        <w:pStyle w:val="Normal"/>
        <w:jc w:val="center"/>
        <w:rPr/>
      </w:pPr>
      <w:r>
        <w:rPr/>
      </w:r>
    </w:p>
    <w:p>
      <w:pPr>
        <w:pStyle w:val="Normal"/>
        <w:rPr>
          <w:sz w:val="28"/>
        </w:rPr>
      </w:pPr>
      <w:r>
        <w:rPr>
          <w:sz w:val="28"/>
        </w:rPr>
        <w:t xml:space="preserve">Глава Новобурундуковского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numPr>
          <w:ilvl w:val="0"/>
          <w:numId w:val="0"/>
        </w:numPr>
        <w:ind w:hanging="0" w:left="0"/>
        <w:outlineLvl w:val="0"/>
        <w:rPr>
          <w:sz w:val="28"/>
          <w:szCs w:val="28"/>
        </w:rPr>
      </w:pPr>
      <w:r>
        <w:rPr>
          <w:sz w:val="28"/>
          <w:szCs w:val="28"/>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numPr>
          <w:ilvl w:val="0"/>
          <w:numId w:val="0"/>
        </w:numPr>
        <w:ind w:hanging="0" w:left="0"/>
        <w:jc w:val="right"/>
        <w:outlineLvl w:val="0"/>
        <w:rPr>
          <w:sz w:val="28"/>
          <w:szCs w:val="28"/>
        </w:rPr>
      </w:pPr>
      <w:r>
        <w:rPr>
          <w:sz w:val="28"/>
          <w:szCs w:val="28"/>
        </w:rPr>
        <w:t xml:space="preserve">                                                                         </w:t>
      </w:r>
    </w:p>
    <w:p>
      <w:pPr>
        <w:pStyle w:val="ConsPlusNormal"/>
        <w:numPr>
          <w:ilvl w:val="0"/>
          <w:numId w:val="0"/>
        </w:numPr>
        <w:ind w:hanging="0" w:left="6663"/>
        <w:jc w:val="both"/>
        <w:outlineLvl w:val="0"/>
        <w:rPr>
          <w:rFonts w:ascii="Times New Roman" w:hAnsi="Times New Roman" w:cs="Times New Roman"/>
          <w:sz w:val="28"/>
          <w:szCs w:val="28"/>
        </w:rPr>
      </w:pPr>
      <w:r>
        <w:rPr>
          <w:rFonts w:cs="Times New Roman" w:ascii="Times New Roman" w:hAnsi="Times New Roman"/>
          <w:sz w:val="28"/>
          <w:szCs w:val="28"/>
        </w:rPr>
        <w:t>Приложение № 3</w:t>
      </w:r>
    </w:p>
    <w:p>
      <w:pPr>
        <w:pStyle w:val="ConsPlusNormal"/>
        <w:numPr>
          <w:ilvl w:val="0"/>
          <w:numId w:val="0"/>
        </w:numPr>
        <w:ind w:hanging="0" w:left="6663"/>
        <w:outlineLvl w:val="0"/>
        <w:rPr>
          <w:rFonts w:ascii="Times New Roman" w:hAnsi="Times New Roman" w:cs="Times New Roman"/>
          <w:sz w:val="28"/>
          <w:szCs w:val="28"/>
        </w:rPr>
      </w:pPr>
      <w:r>
        <w:rPr>
          <w:rFonts w:cs="Times New Roman" w:ascii="Times New Roman" w:hAnsi="Times New Roman"/>
          <w:sz w:val="28"/>
          <w:szCs w:val="28"/>
        </w:rPr>
        <w:t>Утверждены</w:t>
      </w:r>
    </w:p>
    <w:p>
      <w:pPr>
        <w:pStyle w:val="ConsPlusNormal"/>
        <w:ind w:left="6663"/>
        <w:rPr>
          <w:rFonts w:ascii="Times New Roman" w:hAnsi="Times New Roman" w:cs="Times New Roman"/>
          <w:sz w:val="28"/>
          <w:szCs w:val="28"/>
        </w:rPr>
      </w:pPr>
      <w:r>
        <w:rPr>
          <w:rFonts w:cs="Times New Roman" w:ascii="Times New Roman" w:hAnsi="Times New Roman"/>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Normal"/>
        <w:numPr>
          <w:ilvl w:val="0"/>
          <w:numId w:val="0"/>
        </w:numPr>
        <w:ind w:hanging="0" w:left="6663"/>
        <w:jc w:val="center"/>
        <w:outlineLvl w:val="0"/>
        <w:rPr>
          <w:sz w:val="28"/>
          <w:szCs w:val="28"/>
        </w:rPr>
      </w:pPr>
      <w:r>
        <w:rPr>
          <w:sz w:val="28"/>
          <w:szCs w:val="28"/>
        </w:rPr>
      </w:r>
    </w:p>
    <w:p>
      <w:pPr>
        <w:pStyle w:val="Normal"/>
        <w:numPr>
          <w:ilvl w:val="0"/>
          <w:numId w:val="0"/>
        </w:numPr>
        <w:ind w:hanging="0" w:left="6663"/>
        <w:jc w:val="center"/>
        <w:outlineLvl w:val="0"/>
        <w:rPr/>
      </w:pPr>
      <w:r>
        <w:rPr/>
      </w:r>
    </w:p>
    <w:p>
      <w:pPr>
        <w:pStyle w:val="ConsPlusTitle"/>
        <w:widowControl/>
        <w:jc w:val="center"/>
        <w:rPr/>
      </w:pPr>
      <w:r>
        <w:rPr/>
        <w:t>РАЗМЕРЫ И ПОРЯДОК</w:t>
      </w:r>
    </w:p>
    <w:p>
      <w:pPr>
        <w:pStyle w:val="ConsPlusTitle"/>
        <w:widowControl/>
        <w:jc w:val="center"/>
        <w:rPr/>
      </w:pPr>
      <w:r>
        <w:rPr/>
        <w:t>ОСУЩЕСТВЛЕНИЯ ВЫПЛАТЫ ЕЖЕМЕСЯЧНОЙ НАДБАВКИ</w:t>
      </w:r>
    </w:p>
    <w:p>
      <w:pPr>
        <w:pStyle w:val="ConsPlusTitle"/>
        <w:widowControl/>
        <w:jc w:val="center"/>
        <w:rPr/>
      </w:pPr>
      <w:r>
        <w:rPr/>
        <w:t>К ДОЛЖНОСТНОМУ ОКЛАДУ ЗА ВЫСЛУГУ ЛЕТ МУНИЦИПАЛЬНЫМ СЛУЖАЩИМ НОВОБУРУНДУКОВСКОГО СЕЛЬСКОГО ПОСЕЛЕНИЯ</w:t>
      </w:r>
    </w:p>
    <w:p>
      <w:pPr>
        <w:pStyle w:val="Normal"/>
        <w:rPr>
          <w:sz w:val="28"/>
          <w:szCs w:val="28"/>
        </w:rPr>
      </w:pPr>
      <w:r>
        <w:rPr>
          <w:sz w:val="28"/>
          <w:szCs w:val="28"/>
        </w:rPr>
      </w:r>
    </w:p>
    <w:p>
      <w:pPr>
        <w:pStyle w:val="Normal"/>
        <w:ind w:firstLine="540"/>
        <w:jc w:val="both"/>
        <w:rPr>
          <w:sz w:val="28"/>
          <w:szCs w:val="28"/>
        </w:rPr>
      </w:pPr>
      <w:r>
        <w:rPr>
          <w:sz w:val="28"/>
          <w:szCs w:val="28"/>
        </w:rPr>
        <w:t>1. Ежемесячная надбавка к должностному окладу за выслугу лет на муниципальной службе выплачивается в зависимости от стажа муниципальной службы в следующих размерах:</w:t>
      </w:r>
    </w:p>
    <w:p>
      <w:pPr>
        <w:pStyle w:val="Normal"/>
        <w:ind w:firstLine="540"/>
        <w:jc w:val="both"/>
        <w:rPr>
          <w:sz w:val="28"/>
          <w:szCs w:val="28"/>
        </w:rPr>
      </w:pPr>
      <w:r>
        <w:rPr>
          <w:sz w:val="28"/>
          <w:szCs w:val="28"/>
        </w:rPr>
      </w:r>
    </w:p>
    <w:tbl>
      <w:tblPr>
        <w:tblW w:w="9498" w:type="dxa"/>
        <w:jc w:val="left"/>
        <w:tblInd w:w="70" w:type="dxa"/>
        <w:tblLayout w:type="fixed"/>
        <w:tblCellMar>
          <w:top w:w="0" w:type="dxa"/>
          <w:left w:w="70" w:type="dxa"/>
          <w:bottom w:w="0" w:type="dxa"/>
          <w:right w:w="70" w:type="dxa"/>
        </w:tblCellMar>
        <w:tblLook w:val="0000" w:noHBand="0" w:noVBand="0" w:firstColumn="0" w:lastRow="0" w:lastColumn="0" w:firstRow="0"/>
      </w:tblPr>
      <w:tblGrid>
        <w:gridCol w:w="5244"/>
        <w:gridCol w:w="4253"/>
      </w:tblGrid>
      <w:tr>
        <w:trPr>
          <w:trHeight w:val="240" w:hRule="atLeast"/>
          <w:cantSplit w:val="true"/>
        </w:trPr>
        <w:tc>
          <w:tcPr>
            <w:tcW w:w="5244"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при стаже муниципальной службы</w:t>
            </w:r>
          </w:p>
        </w:tc>
        <w:tc>
          <w:tcPr>
            <w:tcW w:w="4253"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предельный размер надбавки, в %</w:t>
            </w:r>
          </w:p>
        </w:tc>
      </w:tr>
      <w:tr>
        <w:trPr>
          <w:trHeight w:val="240" w:hRule="atLeast"/>
          <w:cantSplit w:val="true"/>
        </w:trPr>
        <w:tc>
          <w:tcPr>
            <w:tcW w:w="5244"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от 1 года до 5 лет</w:t>
            </w:r>
          </w:p>
        </w:tc>
        <w:tc>
          <w:tcPr>
            <w:tcW w:w="4253"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5</w:t>
            </w:r>
          </w:p>
        </w:tc>
      </w:tr>
      <w:tr>
        <w:trPr>
          <w:trHeight w:val="240" w:hRule="atLeast"/>
          <w:cantSplit w:val="true"/>
        </w:trPr>
        <w:tc>
          <w:tcPr>
            <w:tcW w:w="5244"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от 5 до 10 лет</w:t>
            </w:r>
          </w:p>
        </w:tc>
        <w:tc>
          <w:tcPr>
            <w:tcW w:w="4253"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10</w:t>
            </w:r>
          </w:p>
        </w:tc>
      </w:tr>
      <w:tr>
        <w:trPr>
          <w:trHeight w:val="240" w:hRule="atLeast"/>
          <w:cantSplit w:val="true"/>
        </w:trPr>
        <w:tc>
          <w:tcPr>
            <w:tcW w:w="5244"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от 10 до 15 лет</w:t>
            </w:r>
          </w:p>
        </w:tc>
        <w:tc>
          <w:tcPr>
            <w:tcW w:w="4253"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15</w:t>
            </w:r>
          </w:p>
        </w:tc>
      </w:tr>
      <w:tr>
        <w:trPr>
          <w:trHeight w:val="240" w:hRule="atLeast"/>
          <w:cantSplit w:val="true"/>
        </w:trPr>
        <w:tc>
          <w:tcPr>
            <w:tcW w:w="5244"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свыше 15 лет</w:t>
            </w:r>
          </w:p>
        </w:tc>
        <w:tc>
          <w:tcPr>
            <w:tcW w:w="4253"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20</w:t>
            </w:r>
          </w:p>
        </w:tc>
      </w:tr>
    </w:tbl>
    <w:p>
      <w:pPr>
        <w:pStyle w:val="Normal"/>
        <w:ind w:firstLine="540"/>
        <w:jc w:val="both"/>
        <w:rPr>
          <w:sz w:val="28"/>
          <w:szCs w:val="28"/>
        </w:rPr>
      </w:pPr>
      <w:r>
        <w:rPr>
          <w:sz w:val="28"/>
          <w:szCs w:val="28"/>
        </w:rPr>
      </w:r>
    </w:p>
    <w:p>
      <w:pPr>
        <w:pStyle w:val="Normal"/>
        <w:ind w:firstLine="540"/>
        <w:jc w:val="both"/>
        <w:rPr>
          <w:sz w:val="28"/>
          <w:szCs w:val="28"/>
        </w:rPr>
      </w:pPr>
      <w:r>
        <w:rPr>
          <w:sz w:val="28"/>
          <w:szCs w:val="28"/>
        </w:rPr>
        <w:t>2. Стаж муниципальной службы для назначения ежемесячной надбавки к должностному окладу за выслугу лет устанавливается актом органа местного самоуправления (муниципального органа), в котором муниципальный служащий замещает должность муниципальной службы, на основании решения комиссии по установлению стажа муниципальной службы.</w:t>
      </w:r>
    </w:p>
    <w:p>
      <w:pPr>
        <w:pStyle w:val="Normal"/>
        <w:numPr>
          <w:ilvl w:val="0"/>
          <w:numId w:val="0"/>
        </w:numPr>
        <w:ind w:hanging="0" w:left="0"/>
        <w:jc w:val="both"/>
        <w:outlineLvl w:val="0"/>
        <w:rPr>
          <w:sz w:val="28"/>
          <w:szCs w:val="28"/>
        </w:rPr>
      </w:pPr>
      <w:r>
        <w:rPr>
          <w:sz w:val="28"/>
          <w:szCs w:val="28"/>
        </w:rPr>
      </w:r>
    </w:p>
    <w:p>
      <w:pPr>
        <w:pStyle w:val="Normal"/>
        <w:numPr>
          <w:ilvl w:val="0"/>
          <w:numId w:val="0"/>
        </w:numPr>
        <w:ind w:hanging="0" w:left="0"/>
        <w:jc w:val="both"/>
        <w:outlineLvl w:val="0"/>
        <w:rPr>
          <w:sz w:val="28"/>
          <w:szCs w:val="28"/>
        </w:rPr>
      </w:pPr>
      <w:r>
        <w:rPr>
          <w:sz w:val="28"/>
          <w:szCs w:val="28"/>
        </w:rPr>
      </w:r>
    </w:p>
    <w:p>
      <w:pPr>
        <w:pStyle w:val="Normal"/>
        <w:rPr>
          <w:sz w:val="28"/>
        </w:rPr>
      </w:pPr>
      <w:r>
        <w:rPr>
          <w:sz w:val="28"/>
        </w:rPr>
        <w:t xml:space="preserve">Глава Новобурундуковского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numPr>
          <w:ilvl w:val="0"/>
          <w:numId w:val="0"/>
        </w:numPr>
        <w:ind w:hanging="0" w:left="0"/>
        <w:jc w:val="both"/>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t xml:space="preserve">                                                                        </w:t>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6237"/>
        <w:outlineLvl w:val="0"/>
        <w:rPr>
          <w:sz w:val="28"/>
          <w:szCs w:val="28"/>
        </w:rPr>
      </w:pPr>
      <w:r>
        <w:rPr>
          <w:sz w:val="28"/>
          <w:szCs w:val="28"/>
        </w:rPr>
        <w:t>Приложение № 4</w:t>
      </w:r>
    </w:p>
    <w:p>
      <w:pPr>
        <w:pStyle w:val="Normal"/>
        <w:numPr>
          <w:ilvl w:val="0"/>
          <w:numId w:val="0"/>
        </w:numPr>
        <w:ind w:hanging="0" w:left="6237"/>
        <w:outlineLvl w:val="0"/>
        <w:rPr>
          <w:sz w:val="28"/>
          <w:szCs w:val="28"/>
        </w:rPr>
      </w:pPr>
      <w:r>
        <w:rPr>
          <w:sz w:val="28"/>
          <w:szCs w:val="28"/>
        </w:rPr>
        <w:t>Утверждены</w:t>
      </w:r>
    </w:p>
    <w:p>
      <w:pPr>
        <w:pStyle w:val="Normal"/>
        <w:numPr>
          <w:ilvl w:val="0"/>
          <w:numId w:val="0"/>
        </w:numPr>
        <w:ind w:hanging="0" w:left="6237"/>
        <w:outlineLvl w:val="0"/>
        <w:rPr>
          <w:sz w:val="28"/>
          <w:szCs w:val="28"/>
        </w:rPr>
      </w:pPr>
      <w:r>
        <w:rPr>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Normal"/>
        <w:numPr>
          <w:ilvl w:val="0"/>
          <w:numId w:val="0"/>
        </w:numPr>
        <w:ind w:hanging="0" w:left="6237"/>
        <w:jc w:val="both"/>
        <w:outlineLvl w:val="0"/>
        <w:rPr>
          <w:sz w:val="28"/>
          <w:szCs w:val="28"/>
        </w:rPr>
      </w:pPr>
      <w:r>
        <w:rPr>
          <w:sz w:val="28"/>
          <w:szCs w:val="28"/>
        </w:rPr>
      </w:r>
    </w:p>
    <w:p>
      <w:pPr>
        <w:pStyle w:val="Normal"/>
        <w:numPr>
          <w:ilvl w:val="0"/>
          <w:numId w:val="0"/>
        </w:numPr>
        <w:ind w:hanging="0" w:left="6237"/>
        <w:jc w:val="both"/>
        <w:outlineLvl w:val="0"/>
        <w:rPr/>
      </w:pPr>
      <w:r>
        <w:rPr/>
      </w:r>
    </w:p>
    <w:p>
      <w:pPr>
        <w:pStyle w:val="ConsPlusTitle"/>
        <w:widowControl/>
        <w:jc w:val="center"/>
        <w:rPr/>
      </w:pPr>
      <w:r>
        <w:rPr/>
        <w:t>РАЗМЕРЫ И ПОРЯДОК</w:t>
      </w:r>
    </w:p>
    <w:p>
      <w:pPr>
        <w:pStyle w:val="ConsPlusTitle"/>
        <w:widowControl/>
        <w:jc w:val="center"/>
        <w:rPr/>
      </w:pPr>
      <w:r>
        <w:rPr/>
        <w:t>ОСУЩЕСТВЛЕНИЯ ЕЖЕМЕСЯЧНОЙ НАДБАВКИ К ДОЛЖНОСТНОМУ ОКЛАДУ ЗА ОСОБЫЕ УСЛОВИЯ МУНИЦИПАЛЬНОЙ СЛУЖБЫ</w:t>
      </w:r>
    </w:p>
    <w:p>
      <w:pPr>
        <w:pStyle w:val="ConsPlusTitle"/>
        <w:widowControl/>
        <w:jc w:val="center"/>
        <w:rPr/>
      </w:pPr>
      <w:r>
        <w:rPr/>
      </w:r>
    </w:p>
    <w:p>
      <w:pPr>
        <w:pStyle w:val="Normal"/>
        <w:ind w:firstLine="540"/>
        <w:jc w:val="both"/>
        <w:rPr>
          <w:sz w:val="28"/>
          <w:szCs w:val="28"/>
        </w:rPr>
      </w:pPr>
      <w:r>
        <w:rPr>
          <w:sz w:val="28"/>
          <w:szCs w:val="28"/>
        </w:rPr>
        <w:t>Ежемесячная надбавка к должностному окладу за особые условия муниципальной службы (сложность, напряженность, высокие достижения в труде, специальный режим работы) устанавливается муниципальному служащему в зависимости от группы замещаемой им должности муниципальной службы актом представителя нанимателя (работодателем) в размерах не превышающих:</w:t>
      </w:r>
    </w:p>
    <w:p>
      <w:pPr>
        <w:pStyle w:val="Normal"/>
        <w:ind w:firstLine="540"/>
        <w:jc w:val="both"/>
        <w:rPr>
          <w:sz w:val="28"/>
          <w:szCs w:val="28"/>
        </w:rPr>
      </w:pPr>
      <w:r>
        <w:rPr>
          <w:sz w:val="28"/>
          <w:szCs w:val="28"/>
        </w:rPr>
        <w:t>по высшим должностям муниципальной службы – 9 процентов должностного оклада;</w:t>
      </w:r>
    </w:p>
    <w:p>
      <w:pPr>
        <w:pStyle w:val="Normal"/>
        <w:ind w:firstLine="540"/>
        <w:jc w:val="both"/>
        <w:rPr>
          <w:sz w:val="28"/>
          <w:szCs w:val="28"/>
        </w:rPr>
      </w:pPr>
      <w:r>
        <w:rPr>
          <w:sz w:val="28"/>
          <w:szCs w:val="28"/>
        </w:rPr>
        <w:t>по главным должностям муниципальной службы – 7 процентов должностного оклада;</w:t>
      </w:r>
    </w:p>
    <w:p>
      <w:pPr>
        <w:pStyle w:val="Normal"/>
        <w:ind w:firstLine="540"/>
        <w:jc w:val="both"/>
        <w:rPr>
          <w:sz w:val="28"/>
          <w:szCs w:val="28"/>
        </w:rPr>
      </w:pPr>
      <w:r>
        <w:rPr>
          <w:sz w:val="28"/>
          <w:szCs w:val="28"/>
        </w:rPr>
        <w:t>по ведущим должностям муниципальной службы – 5 процентов должностного оклада;</w:t>
      </w:r>
    </w:p>
    <w:p>
      <w:pPr>
        <w:pStyle w:val="Normal"/>
        <w:ind w:firstLine="540"/>
        <w:jc w:val="both"/>
        <w:rPr>
          <w:sz w:val="28"/>
          <w:szCs w:val="28"/>
        </w:rPr>
      </w:pPr>
      <w:r>
        <w:rPr>
          <w:sz w:val="28"/>
          <w:szCs w:val="28"/>
        </w:rPr>
        <w:t>по старшим должностям муниципальной службы – 3 процентов должностного оклада;</w:t>
      </w:r>
    </w:p>
    <w:p>
      <w:pPr>
        <w:pStyle w:val="Normal"/>
        <w:ind w:firstLine="540"/>
        <w:jc w:val="both"/>
        <w:rPr>
          <w:sz w:val="28"/>
          <w:szCs w:val="28"/>
        </w:rPr>
      </w:pPr>
      <w:r>
        <w:rPr>
          <w:sz w:val="28"/>
          <w:szCs w:val="28"/>
        </w:rPr>
        <w:t>по младшим должностям муниципальной службы – 1 процента должностного оклада.</w:t>
      </w:r>
    </w:p>
    <w:p>
      <w:pPr>
        <w:pStyle w:val="Normal"/>
        <w:jc w:val="right"/>
        <w:rPr/>
      </w:pPr>
      <w:r>
        <w:rPr/>
      </w:r>
    </w:p>
    <w:p>
      <w:pPr>
        <w:pStyle w:val="Normal"/>
        <w:jc w:val="right"/>
        <w:rPr/>
      </w:pPr>
      <w:r>
        <w:rPr/>
      </w:r>
    </w:p>
    <w:p>
      <w:pPr>
        <w:pStyle w:val="Normal"/>
        <w:rPr>
          <w:sz w:val="28"/>
        </w:rPr>
      </w:pPr>
      <w:r>
        <w:rPr>
          <w:sz w:val="28"/>
        </w:rPr>
        <w:t xml:space="preserve">Глава Новобурундуковского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numPr>
          <w:ilvl w:val="0"/>
          <w:numId w:val="0"/>
        </w:numPr>
        <w:ind w:hanging="0" w:left="6237"/>
        <w:outlineLvl w:val="0"/>
        <w:rPr>
          <w:sz w:val="28"/>
          <w:szCs w:val="28"/>
        </w:rPr>
      </w:pPr>
      <w:r>
        <w:rPr>
          <w:sz w:val="28"/>
          <w:szCs w:val="28"/>
        </w:rPr>
        <w:t>Приложение № 5</w:t>
      </w:r>
    </w:p>
    <w:p>
      <w:pPr>
        <w:pStyle w:val="Normal"/>
        <w:numPr>
          <w:ilvl w:val="0"/>
          <w:numId w:val="0"/>
        </w:numPr>
        <w:ind w:hanging="0" w:left="6237"/>
        <w:outlineLvl w:val="0"/>
        <w:rPr>
          <w:sz w:val="28"/>
          <w:szCs w:val="28"/>
        </w:rPr>
      </w:pPr>
      <w:r>
        <w:rPr>
          <w:sz w:val="28"/>
          <w:szCs w:val="28"/>
        </w:rPr>
        <w:t>Утверждены</w:t>
      </w:r>
    </w:p>
    <w:p>
      <w:pPr>
        <w:pStyle w:val="Normal"/>
        <w:numPr>
          <w:ilvl w:val="0"/>
          <w:numId w:val="0"/>
        </w:numPr>
        <w:ind w:hanging="0" w:left="6237"/>
        <w:outlineLvl w:val="0"/>
        <w:rPr>
          <w:sz w:val="28"/>
          <w:szCs w:val="28"/>
        </w:rPr>
      </w:pPr>
      <w:r>
        <w:rPr>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Normal"/>
        <w:jc w:val="right"/>
        <w:rPr/>
      </w:pPr>
      <w:r>
        <w:rPr/>
      </w:r>
    </w:p>
    <w:p>
      <w:pPr>
        <w:pStyle w:val="Normal"/>
        <w:jc w:val="right"/>
        <w:rPr/>
      </w:pPr>
      <w:r>
        <w:rPr/>
      </w:r>
    </w:p>
    <w:p>
      <w:pPr>
        <w:pStyle w:val="ConsPlusTitle"/>
        <w:widowControl/>
        <w:jc w:val="center"/>
        <w:rPr/>
      </w:pPr>
      <w:r>
        <w:rPr/>
        <w:t>РАЗМЕРЫ И ПОРЯДОК</w:t>
      </w:r>
    </w:p>
    <w:p>
      <w:pPr>
        <w:pStyle w:val="ConsPlusTitle"/>
        <w:widowControl/>
        <w:jc w:val="center"/>
        <w:rPr/>
      </w:pPr>
      <w:r>
        <w:rPr/>
        <w:t>ОСУЩЕСТВЛЕНИЯ ВЫПЛАТЫ ПРЕМИЙ</w:t>
      </w:r>
    </w:p>
    <w:p>
      <w:pPr>
        <w:pStyle w:val="ConsPlusTitle"/>
        <w:widowControl/>
        <w:jc w:val="center"/>
        <w:rPr/>
      </w:pPr>
      <w:r>
        <w:rPr/>
        <w:t>ЗА ВЫПОЛНЕНИЕ ОСОБО ВАЖНЫХ И СЛОЖНЫХ ЗАДАНИЙ</w:t>
      </w:r>
    </w:p>
    <w:p>
      <w:pPr>
        <w:pStyle w:val="Normal"/>
        <w:ind w:firstLine="540"/>
        <w:jc w:val="both"/>
        <w:rPr/>
      </w:pPr>
      <w:r>
        <w:rPr/>
      </w:r>
    </w:p>
    <w:p>
      <w:pPr>
        <w:pStyle w:val="Normal"/>
        <w:ind w:firstLine="540"/>
        <w:jc w:val="both"/>
        <w:rPr>
          <w:sz w:val="28"/>
          <w:szCs w:val="28"/>
        </w:rPr>
      </w:pPr>
      <w:r>
        <w:rPr>
          <w:sz w:val="28"/>
          <w:szCs w:val="28"/>
        </w:rPr>
        <w:t>1. В целях повышения эффективности деятельности муниципальных служащих, уровня их ответственности за выполнение возложенных на органы местного самоуправления полномочий, повышения качества выполняемых задач, своевременного и добросовестного исполнения должностных обязанностей, предусмотренных должностной инструкцией, муниципальным служащим выплачивается премия за выполнение ими особо важных и сложных заданий.</w:t>
      </w:r>
    </w:p>
    <w:p>
      <w:pPr>
        <w:pStyle w:val="Normal"/>
        <w:ind w:firstLine="540"/>
        <w:jc w:val="both"/>
        <w:rPr>
          <w:sz w:val="28"/>
          <w:szCs w:val="28"/>
        </w:rPr>
      </w:pPr>
      <w:r>
        <w:rPr>
          <w:sz w:val="28"/>
          <w:szCs w:val="28"/>
        </w:rPr>
        <w:t>2. Выплата премий муниципальным служащим за выполнение особо важных и сложных заданий (далее – премии), не ограниченные максимальным размером, в пределах установленного фонда оплаты труда, производится с учетом обеспечения задач и функций соответствующего органа местного самоуправления и муниципального органа ежемесячно и по результатам работы в течение года по решению руководителя органа местного самоуправления (муниципального органа), принятому в соответствии с настоящим Порядком.</w:t>
      </w:r>
    </w:p>
    <w:p>
      <w:pPr>
        <w:pStyle w:val="Normal"/>
        <w:ind w:firstLine="540"/>
        <w:jc w:val="both"/>
        <w:rPr>
          <w:sz w:val="28"/>
          <w:szCs w:val="28"/>
        </w:rPr>
      </w:pPr>
      <w:r>
        <w:rPr>
          <w:sz w:val="28"/>
          <w:szCs w:val="28"/>
        </w:rPr>
        <w:t>3. Основанием выплаты премии является правовой акт руководителя органа местного самоуправления (муниципального органа).</w:t>
      </w:r>
    </w:p>
    <w:p>
      <w:pPr>
        <w:pStyle w:val="Normal"/>
        <w:jc w:val="right"/>
        <w:rPr>
          <w:sz w:val="28"/>
          <w:szCs w:val="28"/>
        </w:rPr>
      </w:pPr>
      <w:r>
        <w:rPr>
          <w:sz w:val="28"/>
          <w:szCs w:val="28"/>
        </w:rPr>
      </w:r>
    </w:p>
    <w:p>
      <w:pPr>
        <w:pStyle w:val="Normal"/>
        <w:jc w:val="right"/>
        <w:rPr/>
      </w:pPr>
      <w:r>
        <w:rPr/>
      </w:r>
    </w:p>
    <w:p>
      <w:pPr>
        <w:pStyle w:val="Normal"/>
        <w:jc w:val="right"/>
        <w:rPr/>
      </w:pPr>
      <w:r>
        <w:rPr/>
      </w:r>
    </w:p>
    <w:p>
      <w:pPr>
        <w:pStyle w:val="Normal"/>
        <w:rPr>
          <w:sz w:val="28"/>
        </w:rPr>
      </w:pPr>
      <w:r>
        <w:rPr>
          <w:sz w:val="28"/>
        </w:rPr>
        <w:t xml:space="preserve">Глава Новобурундуковского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numPr>
          <w:ilvl w:val="0"/>
          <w:numId w:val="0"/>
        </w:numPr>
        <w:ind w:hanging="0" w:left="0"/>
        <w:outlineLvl w:val="0"/>
        <w:rPr>
          <w:sz w:val="28"/>
          <w:szCs w:val="28"/>
        </w:rPr>
      </w:pPr>
      <w:r>
        <w:rPr>
          <w:sz w:val="28"/>
          <w:szCs w:val="28"/>
        </w:rPr>
        <w:t xml:space="preserve">         </w:t>
      </w:r>
    </w:p>
    <w:p>
      <w:pPr>
        <w:pStyle w:val="Normal"/>
        <w:jc w:val="right"/>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6237"/>
        <w:outlineLvl w:val="0"/>
        <w:rPr>
          <w:sz w:val="28"/>
          <w:szCs w:val="28"/>
        </w:rPr>
      </w:pPr>
      <w:r>
        <w:rPr>
          <w:sz w:val="28"/>
          <w:szCs w:val="28"/>
        </w:rPr>
        <w:t>Приложение № 6</w:t>
      </w:r>
    </w:p>
    <w:p>
      <w:pPr>
        <w:pStyle w:val="Normal"/>
        <w:numPr>
          <w:ilvl w:val="0"/>
          <w:numId w:val="0"/>
        </w:numPr>
        <w:ind w:hanging="0" w:left="6237"/>
        <w:outlineLvl w:val="0"/>
        <w:rPr>
          <w:sz w:val="28"/>
          <w:szCs w:val="28"/>
        </w:rPr>
      </w:pPr>
      <w:r>
        <w:rPr>
          <w:sz w:val="28"/>
          <w:szCs w:val="28"/>
        </w:rPr>
        <w:t>Утверждены</w:t>
      </w:r>
    </w:p>
    <w:p>
      <w:pPr>
        <w:pStyle w:val="Normal"/>
        <w:numPr>
          <w:ilvl w:val="0"/>
          <w:numId w:val="0"/>
        </w:numPr>
        <w:ind w:hanging="0" w:left="6237"/>
        <w:outlineLvl w:val="0"/>
        <w:rPr>
          <w:sz w:val="28"/>
          <w:szCs w:val="28"/>
        </w:rPr>
      </w:pPr>
      <w:r>
        <w:rPr>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Normal"/>
        <w:numPr>
          <w:ilvl w:val="0"/>
          <w:numId w:val="0"/>
        </w:numPr>
        <w:ind w:hanging="0" w:left="0"/>
        <w:jc w:val="right"/>
        <w:outlineLvl w:val="0"/>
        <w:rPr>
          <w:sz w:val="28"/>
          <w:szCs w:val="28"/>
        </w:rPr>
      </w:pPr>
      <w:r>
        <w:rPr>
          <w:sz w:val="28"/>
          <w:szCs w:val="28"/>
        </w:rPr>
      </w:r>
    </w:p>
    <w:p>
      <w:pPr>
        <w:pStyle w:val="ConsPlusTitle"/>
        <w:widowControl/>
        <w:jc w:val="center"/>
        <w:rPr/>
      </w:pPr>
      <w:r>
        <w:rPr/>
      </w:r>
    </w:p>
    <w:p>
      <w:pPr>
        <w:pStyle w:val="ConsPlusTitle"/>
        <w:widowControl/>
        <w:jc w:val="center"/>
        <w:rPr/>
      </w:pPr>
      <w:r>
        <w:rPr/>
        <w:t>РАЗМЕРЫ И ПОРЯДОК</w:t>
      </w:r>
    </w:p>
    <w:p>
      <w:pPr>
        <w:pStyle w:val="ConsPlusTitle"/>
        <w:widowControl/>
        <w:jc w:val="center"/>
        <w:rPr/>
      </w:pPr>
      <w:r>
        <w:rPr/>
        <w:t>ОСУЩЕСТВЛЕНИЯ ВЫПЛАТЫ ЕЖЕМЕСЯЧНОГО ДЕНЕЖНОГО ПООЩРЕНИЯ МУНИЦИПАЛЬНЫМ СЛУЖАЩИМ НОВОБУРУНДУКОВСКОГО СЕЛЬСКОГО ПОСЕЛЕНИЯ</w:t>
      </w:r>
    </w:p>
    <w:p>
      <w:pPr>
        <w:pStyle w:val="Normal"/>
        <w:rPr>
          <w:sz w:val="28"/>
          <w:szCs w:val="28"/>
        </w:rPr>
      </w:pPr>
      <w:r>
        <w:rPr>
          <w:sz w:val="28"/>
          <w:szCs w:val="28"/>
        </w:rPr>
      </w:r>
    </w:p>
    <w:p>
      <w:pPr>
        <w:pStyle w:val="Normal"/>
        <w:rPr>
          <w:sz w:val="28"/>
          <w:szCs w:val="28"/>
        </w:rPr>
      </w:pPr>
      <w:r>
        <w:rPr>
          <w:sz w:val="28"/>
          <w:szCs w:val="28"/>
        </w:rPr>
      </w:r>
    </w:p>
    <w:p>
      <w:pPr>
        <w:pStyle w:val="Normal"/>
        <w:ind w:firstLine="540"/>
        <w:jc w:val="both"/>
        <w:rPr>
          <w:sz w:val="28"/>
          <w:szCs w:val="28"/>
        </w:rPr>
      </w:pPr>
      <w:r>
        <w:rPr>
          <w:sz w:val="28"/>
          <w:szCs w:val="28"/>
        </w:rPr>
        <w:t>Ежемесячное денежное поощрение муниципальным служащим устанавливается решением руководителя органа местного самоуправления (муниципального органа) в размере, не превышающем одного процента должностного оклада.</w:t>
      </w:r>
    </w:p>
    <w:p>
      <w:pPr>
        <w:pStyle w:val="Normal"/>
        <w:ind w:firstLine="540"/>
        <w:jc w:val="both"/>
        <w:rPr>
          <w:sz w:val="28"/>
          <w:szCs w:val="28"/>
        </w:rPr>
      </w:pPr>
      <w:r>
        <w:rPr>
          <w:sz w:val="28"/>
          <w:szCs w:val="28"/>
        </w:rPr>
      </w:r>
    </w:p>
    <w:p>
      <w:pPr>
        <w:pStyle w:val="Normal"/>
        <w:jc w:val="right"/>
        <w:rPr>
          <w:sz w:val="28"/>
          <w:szCs w:val="28"/>
        </w:rPr>
      </w:pPr>
      <w:r>
        <w:rPr>
          <w:sz w:val="28"/>
          <w:szCs w:val="28"/>
        </w:rPr>
      </w:r>
    </w:p>
    <w:p>
      <w:pPr>
        <w:pStyle w:val="Normal"/>
        <w:jc w:val="right"/>
        <w:rPr/>
      </w:pPr>
      <w:r>
        <w:rPr/>
      </w:r>
    </w:p>
    <w:p>
      <w:pPr>
        <w:pStyle w:val="Normal"/>
        <w:rPr>
          <w:sz w:val="28"/>
        </w:rPr>
      </w:pPr>
      <w:r>
        <w:rPr>
          <w:sz w:val="28"/>
        </w:rPr>
        <w:t xml:space="preserve">Глава Новобурундуковского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jc w:val="right"/>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sz w:val="28"/>
          <w:szCs w:val="28"/>
        </w:rPr>
      </w:pPr>
      <w:r>
        <w:rPr>
          <w:sz w:val="28"/>
          <w:szCs w:val="28"/>
        </w:rPr>
        <w:t xml:space="preserve">                                                              </w:t>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t xml:space="preserve">  </w:t>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6237"/>
        <w:outlineLvl w:val="0"/>
        <w:rPr>
          <w:sz w:val="28"/>
          <w:szCs w:val="28"/>
        </w:rPr>
      </w:pPr>
      <w:r>
        <w:rPr>
          <w:sz w:val="28"/>
          <w:szCs w:val="28"/>
        </w:rPr>
        <w:t>Приложение № 7</w:t>
      </w:r>
    </w:p>
    <w:p>
      <w:pPr>
        <w:pStyle w:val="Normal"/>
        <w:numPr>
          <w:ilvl w:val="0"/>
          <w:numId w:val="0"/>
        </w:numPr>
        <w:ind w:hanging="0" w:left="6237"/>
        <w:outlineLvl w:val="0"/>
        <w:rPr>
          <w:sz w:val="28"/>
          <w:szCs w:val="28"/>
        </w:rPr>
      </w:pPr>
      <w:r>
        <w:rPr>
          <w:sz w:val="28"/>
          <w:szCs w:val="28"/>
        </w:rPr>
        <w:t>Утверждены</w:t>
      </w:r>
    </w:p>
    <w:p>
      <w:pPr>
        <w:pStyle w:val="Normal"/>
        <w:numPr>
          <w:ilvl w:val="0"/>
          <w:numId w:val="0"/>
        </w:numPr>
        <w:ind w:hanging="0" w:left="6237"/>
        <w:outlineLvl w:val="0"/>
        <w:rPr>
          <w:sz w:val="28"/>
          <w:szCs w:val="28"/>
        </w:rPr>
      </w:pPr>
      <w:r>
        <w:rPr>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Normal"/>
        <w:numPr>
          <w:ilvl w:val="0"/>
          <w:numId w:val="0"/>
        </w:numPr>
        <w:ind w:hanging="0" w:left="0"/>
        <w:jc w:val="right"/>
        <w:outlineLvl w:val="0"/>
        <w:rPr/>
      </w:pPr>
      <w:r>
        <w:rPr/>
      </w:r>
    </w:p>
    <w:p>
      <w:pPr>
        <w:pStyle w:val="ConsPlusTitle"/>
        <w:widowControl/>
        <w:jc w:val="center"/>
        <w:rPr/>
      </w:pPr>
      <w:r>
        <w:rPr/>
        <w:t>РАЗМЕРЫ И ПОРЯДОК</w:t>
      </w:r>
    </w:p>
    <w:p>
      <w:pPr>
        <w:pStyle w:val="ConsPlusTitle"/>
        <w:widowControl/>
        <w:jc w:val="center"/>
        <w:rPr/>
      </w:pPr>
      <w:r>
        <w:rPr/>
        <w:t xml:space="preserve">ОСУЩЕСТВЛЕНИЯ ВЫПЛАТЫ ЕЖЕМЕСЯЧНОЙ НАДБАВКИ </w:t>
      </w:r>
    </w:p>
    <w:p>
      <w:pPr>
        <w:pStyle w:val="ConsPlusTitle"/>
        <w:widowControl/>
        <w:jc w:val="center"/>
        <w:rPr/>
      </w:pPr>
      <w:r>
        <w:rPr/>
        <w:t xml:space="preserve">ЗА КЛАССНЫЙ ЧИН МУНИЦИПАЛЬНЫМ СЛУЖАЩИМ </w:t>
      </w:r>
    </w:p>
    <w:p>
      <w:pPr>
        <w:pStyle w:val="ConsPlusTitle"/>
        <w:widowControl/>
        <w:jc w:val="center"/>
        <w:rPr>
          <w:sz w:val="28"/>
          <w:szCs w:val="28"/>
        </w:rPr>
      </w:pPr>
      <w:r>
        <w:rPr>
          <w:sz w:val="28"/>
          <w:szCs w:val="28"/>
        </w:rPr>
      </w:r>
    </w:p>
    <w:p>
      <w:pPr>
        <w:pStyle w:val="Normal"/>
        <w:ind w:firstLine="540"/>
        <w:jc w:val="both"/>
        <w:rPr>
          <w:sz w:val="28"/>
          <w:szCs w:val="28"/>
        </w:rPr>
      </w:pPr>
      <w:r>
        <w:rPr>
          <w:sz w:val="28"/>
          <w:szCs w:val="28"/>
        </w:rPr>
        <w:t>1. Ежемесячная надбавка за классный чин устанавливается муниципальному служащему в соответствии с присвоенным классным чином в следующих размерах:</w:t>
      </w:r>
    </w:p>
    <w:p>
      <w:pPr>
        <w:pStyle w:val="Normal"/>
        <w:ind w:firstLine="540"/>
        <w:jc w:val="both"/>
        <w:rPr>
          <w:sz w:val="28"/>
          <w:szCs w:val="28"/>
        </w:rPr>
      </w:pPr>
      <w:r>
        <w:rPr>
          <w:sz w:val="28"/>
          <w:szCs w:val="28"/>
        </w:rPr>
      </w:r>
    </w:p>
    <w:tbl>
      <w:tblPr>
        <w:tblW w:w="9639" w:type="dxa"/>
        <w:jc w:val="left"/>
        <w:tblInd w:w="70" w:type="dxa"/>
        <w:tblLayout w:type="fixed"/>
        <w:tblCellMar>
          <w:top w:w="0" w:type="dxa"/>
          <w:left w:w="70" w:type="dxa"/>
          <w:bottom w:w="0" w:type="dxa"/>
          <w:right w:w="70" w:type="dxa"/>
        </w:tblCellMar>
        <w:tblLook w:val="0000" w:noHBand="0" w:noVBand="0" w:firstColumn="0" w:lastRow="0" w:lastColumn="0" w:firstRow="0"/>
      </w:tblPr>
      <w:tblGrid>
        <w:gridCol w:w="6807"/>
        <w:gridCol w:w="2831"/>
      </w:tblGrid>
      <w:tr>
        <w:trPr>
          <w:trHeight w:val="480" w:hRule="atLeast"/>
          <w:cantSplit w:val="true"/>
        </w:trPr>
        <w:tc>
          <w:tcPr>
            <w:tcW w:w="6807"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Наименование классного чина</w:t>
            </w:r>
          </w:p>
        </w:tc>
        <w:tc>
          <w:tcPr>
            <w:tcW w:w="2831"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 xml:space="preserve">Размер надбавки   </w:t>
              <w:br/>
              <w:t xml:space="preserve">(в процентах от   </w:t>
              <w:br/>
              <w:t>должностного оклада)</w:t>
            </w:r>
          </w:p>
        </w:tc>
      </w:tr>
      <w:tr>
        <w:trPr>
          <w:trHeight w:val="240" w:hRule="atLeast"/>
          <w:cantSplit w:val="true"/>
        </w:trPr>
        <w:tc>
          <w:tcPr>
            <w:tcW w:w="6807" w:type="dxa"/>
            <w:tcBorders>
              <w:top w:val="single" w:sz="6" w:space="0" w:color="000000"/>
              <w:left w:val="single" w:sz="6" w:space="0" w:color="000000"/>
              <w:bottom w:val="single" w:sz="6" w:space="0" w:color="000000"/>
              <w:right w:val="single" w:sz="6" w:space="0" w:color="000000"/>
            </w:tcBorders>
          </w:tcPr>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Действительный муниципальный советник I класса</w:t>
            </w:r>
          </w:p>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Муниципальный советник I класса</w:t>
            </w:r>
          </w:p>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Советник муниципальной службы I класса</w:t>
            </w:r>
          </w:p>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Референт муниципальной службы I класса</w:t>
            </w:r>
          </w:p>
          <w:p>
            <w:pPr>
              <w:pStyle w:val="ConsPlusCell"/>
              <w:widowControl/>
              <w:rPr>
                <w:rFonts w:ascii="Times New Roman" w:hAnsi="Times New Roman" w:cs="Times New Roman"/>
                <w:sz w:val="28"/>
                <w:szCs w:val="28"/>
              </w:rPr>
            </w:pPr>
            <w:r>
              <w:rPr>
                <w:rFonts w:cs="Times New Roman" w:ascii="Times New Roman" w:hAnsi="Times New Roman"/>
                <w:sz w:val="28"/>
                <w:szCs w:val="28"/>
                <w:lang w:eastAsia="en-US"/>
              </w:rPr>
              <w:t>Секретарь муниципальной службы I класса</w:t>
            </w:r>
          </w:p>
        </w:tc>
        <w:tc>
          <w:tcPr>
            <w:tcW w:w="2831"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7</w:t>
            </w:r>
          </w:p>
        </w:tc>
      </w:tr>
      <w:tr>
        <w:trPr>
          <w:trHeight w:val="240" w:hRule="atLeast"/>
          <w:cantSplit w:val="true"/>
        </w:trPr>
        <w:tc>
          <w:tcPr>
            <w:tcW w:w="6807" w:type="dxa"/>
            <w:tcBorders>
              <w:top w:val="single" w:sz="6" w:space="0" w:color="000000"/>
              <w:left w:val="single" w:sz="6" w:space="0" w:color="000000"/>
              <w:bottom w:val="single" w:sz="6" w:space="0" w:color="000000"/>
              <w:right w:val="single" w:sz="6" w:space="0" w:color="000000"/>
            </w:tcBorders>
          </w:tcPr>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Действительный муниципальный советник II класса</w:t>
            </w:r>
          </w:p>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Муниципальный советник II класса</w:t>
            </w:r>
          </w:p>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Советник муниципальной службы II класса</w:t>
            </w:r>
          </w:p>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Референт муниципальной службы II класса</w:t>
            </w:r>
          </w:p>
          <w:p>
            <w:pPr>
              <w:pStyle w:val="ConsPlusCell"/>
              <w:widowControl/>
              <w:rPr>
                <w:rFonts w:ascii="Times New Roman" w:hAnsi="Times New Roman" w:cs="Times New Roman"/>
                <w:sz w:val="28"/>
                <w:szCs w:val="28"/>
              </w:rPr>
            </w:pPr>
            <w:r>
              <w:rPr>
                <w:rFonts w:cs="Times New Roman" w:ascii="Times New Roman" w:hAnsi="Times New Roman"/>
                <w:sz w:val="28"/>
                <w:szCs w:val="28"/>
                <w:lang w:eastAsia="en-US"/>
              </w:rPr>
              <w:t>Секретарь муниципальной службы II класса</w:t>
            </w:r>
          </w:p>
        </w:tc>
        <w:tc>
          <w:tcPr>
            <w:tcW w:w="2831"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5</w:t>
            </w:r>
          </w:p>
        </w:tc>
      </w:tr>
      <w:tr>
        <w:trPr>
          <w:trHeight w:val="240" w:hRule="atLeast"/>
          <w:cantSplit w:val="true"/>
        </w:trPr>
        <w:tc>
          <w:tcPr>
            <w:tcW w:w="6807" w:type="dxa"/>
            <w:tcBorders>
              <w:top w:val="single" w:sz="6" w:space="0" w:color="000000"/>
              <w:left w:val="single" w:sz="6" w:space="0" w:color="000000"/>
              <w:bottom w:val="single" w:sz="6" w:space="0" w:color="000000"/>
              <w:right w:val="single" w:sz="6" w:space="0" w:color="000000"/>
            </w:tcBorders>
          </w:tcPr>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Действительный муниципальный советник III класса</w:t>
            </w:r>
          </w:p>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Муниципальный советник III класса</w:t>
            </w:r>
          </w:p>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Советник муниципальной службы III класса</w:t>
            </w:r>
          </w:p>
          <w:p>
            <w:pPr>
              <w:pStyle w:val="ConsPlusNormal"/>
              <w:suppressAutoHyphens w:val="true"/>
              <w:jc w:val="both"/>
              <w:rPr>
                <w:rFonts w:ascii="Times New Roman" w:hAnsi="Times New Roman" w:cs="Times New Roman"/>
                <w:sz w:val="28"/>
                <w:szCs w:val="28"/>
                <w:lang w:eastAsia="en-US"/>
              </w:rPr>
            </w:pPr>
            <w:r>
              <w:rPr>
                <w:rFonts w:cs="Times New Roman" w:ascii="Times New Roman" w:hAnsi="Times New Roman"/>
                <w:sz w:val="28"/>
                <w:szCs w:val="28"/>
                <w:lang w:eastAsia="en-US"/>
              </w:rPr>
              <w:t>Референт муниципальной службы III класса</w:t>
            </w:r>
          </w:p>
          <w:p>
            <w:pPr>
              <w:pStyle w:val="ConsPlusCell"/>
              <w:widowControl/>
              <w:rPr>
                <w:rFonts w:ascii="Times New Roman" w:hAnsi="Times New Roman" w:cs="Times New Roman"/>
                <w:sz w:val="28"/>
                <w:szCs w:val="28"/>
              </w:rPr>
            </w:pPr>
            <w:r>
              <w:rPr>
                <w:rFonts w:cs="Times New Roman" w:ascii="Times New Roman" w:hAnsi="Times New Roman"/>
                <w:sz w:val="28"/>
                <w:szCs w:val="28"/>
                <w:lang w:eastAsia="en-US"/>
              </w:rPr>
              <w:t>Секретарь муниципальной службы III класса</w:t>
            </w:r>
          </w:p>
        </w:tc>
        <w:tc>
          <w:tcPr>
            <w:tcW w:w="2831"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8"/>
                <w:szCs w:val="28"/>
              </w:rPr>
            </w:pPr>
            <w:r>
              <w:rPr>
                <w:rFonts w:cs="Times New Roman" w:ascii="Times New Roman" w:hAnsi="Times New Roman"/>
                <w:sz w:val="28"/>
                <w:szCs w:val="28"/>
              </w:rPr>
              <w:t>3</w:t>
            </w:r>
          </w:p>
        </w:tc>
      </w:tr>
    </w:tbl>
    <w:p>
      <w:pPr>
        <w:pStyle w:val="Normal"/>
        <w:jc w:val="both"/>
        <w:rPr>
          <w:sz w:val="28"/>
          <w:szCs w:val="28"/>
        </w:rPr>
      </w:pPr>
      <w:r>
        <w:rPr>
          <w:sz w:val="28"/>
          <w:szCs w:val="28"/>
        </w:rPr>
        <w:t xml:space="preserve">       </w:t>
      </w:r>
    </w:p>
    <w:p>
      <w:pPr>
        <w:pStyle w:val="Normal"/>
        <w:ind w:firstLine="708"/>
        <w:jc w:val="both"/>
        <w:rPr>
          <w:sz w:val="28"/>
          <w:szCs w:val="28"/>
        </w:rPr>
      </w:pPr>
      <w:r>
        <w:rPr>
          <w:sz w:val="28"/>
          <w:szCs w:val="28"/>
        </w:rPr>
        <w:t xml:space="preserve"> </w:t>
      </w:r>
      <w:r>
        <w:rPr>
          <w:sz w:val="28"/>
          <w:szCs w:val="28"/>
        </w:rPr>
        <w:t>2. Ежемесячная надбавка за классный чин выплачивается муниципальному служащему со дня присвоения ему классного чина в порядке, установленном законодательством о муниципальной службе.</w:t>
      </w:r>
    </w:p>
    <w:p>
      <w:pPr>
        <w:pStyle w:val="Normal"/>
        <w:rPr>
          <w:sz w:val="28"/>
          <w:szCs w:val="28"/>
        </w:rPr>
      </w:pPr>
      <w:r>
        <w:rPr>
          <w:sz w:val="28"/>
          <w:szCs w:val="28"/>
        </w:rPr>
      </w:r>
    </w:p>
    <w:p>
      <w:pPr>
        <w:pStyle w:val="Normal"/>
        <w:rPr>
          <w:sz w:val="28"/>
        </w:rPr>
      </w:pPr>
      <w:r>
        <w:rPr>
          <w:sz w:val="28"/>
        </w:rPr>
        <w:t xml:space="preserve">Глава Новобурундуковского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numPr>
          <w:ilvl w:val="0"/>
          <w:numId w:val="0"/>
        </w:numPr>
        <w:ind w:hanging="0" w:left="0"/>
        <w:outlineLvl w:val="0"/>
        <w:rPr>
          <w:sz w:val="28"/>
          <w:szCs w:val="28"/>
        </w:rPr>
      </w:pPr>
      <w:r>
        <w:rPr>
          <w:sz w:val="28"/>
          <w:szCs w:val="28"/>
        </w:rPr>
        <w:t xml:space="preserve">   </w:t>
      </w:r>
    </w:p>
    <w:p>
      <w:pPr>
        <w:pStyle w:val="Normal"/>
        <w:numPr>
          <w:ilvl w:val="0"/>
          <w:numId w:val="0"/>
        </w:numPr>
        <w:ind w:firstLine="708" w:left="5529"/>
        <w:outlineLvl w:val="0"/>
        <w:rPr>
          <w:sz w:val="28"/>
          <w:szCs w:val="28"/>
        </w:rPr>
      </w:pPr>
      <w:r>
        <w:rPr>
          <w:sz w:val="28"/>
          <w:szCs w:val="28"/>
        </w:rPr>
        <w:t>Приложение № 8</w:t>
      </w:r>
    </w:p>
    <w:p>
      <w:pPr>
        <w:pStyle w:val="Normal"/>
        <w:numPr>
          <w:ilvl w:val="0"/>
          <w:numId w:val="0"/>
        </w:numPr>
        <w:ind w:hanging="0" w:left="6237"/>
        <w:outlineLvl w:val="0"/>
        <w:rPr>
          <w:sz w:val="28"/>
          <w:szCs w:val="28"/>
        </w:rPr>
      </w:pPr>
      <w:r>
        <w:rPr>
          <w:sz w:val="28"/>
          <w:szCs w:val="28"/>
        </w:rPr>
        <w:t>Утверждены</w:t>
      </w:r>
    </w:p>
    <w:p>
      <w:pPr>
        <w:pStyle w:val="Normal"/>
        <w:numPr>
          <w:ilvl w:val="0"/>
          <w:numId w:val="0"/>
        </w:numPr>
        <w:ind w:hanging="0" w:left="6237"/>
        <w:outlineLvl w:val="0"/>
        <w:rPr>
          <w:sz w:val="28"/>
          <w:szCs w:val="28"/>
        </w:rPr>
      </w:pPr>
      <w:r>
        <w:rPr>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Normal"/>
        <w:jc w:val="center"/>
        <w:rPr/>
      </w:pPr>
      <w:r>
        <w:rPr/>
      </w:r>
    </w:p>
    <w:p>
      <w:pPr>
        <w:pStyle w:val="ConsPlusTitle"/>
        <w:widowControl/>
        <w:jc w:val="center"/>
        <w:rPr/>
      </w:pPr>
      <w:r>
        <w:rPr/>
      </w:r>
    </w:p>
    <w:p>
      <w:pPr>
        <w:pStyle w:val="ConsPlusTitle"/>
        <w:widowControl/>
        <w:jc w:val="center"/>
        <w:rPr/>
      </w:pPr>
      <w:r>
        <w:rPr/>
        <w:t>РАЗМЕРЫ И ПОРЯДОК</w:t>
      </w:r>
    </w:p>
    <w:p>
      <w:pPr>
        <w:pStyle w:val="ConsPlusTitle"/>
        <w:widowControl/>
        <w:jc w:val="center"/>
        <w:rPr/>
      </w:pPr>
      <w:r>
        <w:rPr/>
        <w:t>ОСУЩЕСТВЛЕНИЯ ЕДИНОВРЕМЕННОЙ ВЫПЛАТЫ</w:t>
      </w:r>
    </w:p>
    <w:p>
      <w:pPr>
        <w:pStyle w:val="ConsPlusTitle"/>
        <w:widowControl/>
        <w:jc w:val="center"/>
        <w:rPr/>
      </w:pPr>
      <w:r>
        <w:rPr/>
        <w:t>ПРИ ПРЕДОСТАВЛЕНИИ ЕЖЕГОДНОГО ОПЛАЧИВАЕМОГО ОТПУСКА</w:t>
      </w:r>
    </w:p>
    <w:p>
      <w:pPr>
        <w:pStyle w:val="Normal"/>
        <w:jc w:val="center"/>
        <w:rPr/>
      </w:pPr>
      <w:r>
        <w:rPr/>
      </w:r>
    </w:p>
    <w:p>
      <w:pPr>
        <w:pStyle w:val="Normal"/>
        <w:ind w:firstLine="540"/>
        <w:jc w:val="both"/>
        <w:rPr>
          <w:sz w:val="28"/>
          <w:szCs w:val="28"/>
        </w:rPr>
      </w:pPr>
      <w:r>
        <w:rPr>
          <w:sz w:val="28"/>
          <w:szCs w:val="28"/>
        </w:rPr>
        <w:t>1. При предоставлении муниципальным служащим ежегодного оплачиваемого отпуска производится единовременная выплата в размере, не превышающем 1,2 должностных окладов.</w:t>
      </w:r>
    </w:p>
    <w:p>
      <w:pPr>
        <w:pStyle w:val="Normal"/>
        <w:ind w:firstLine="540"/>
        <w:jc w:val="both"/>
        <w:rPr>
          <w:sz w:val="28"/>
          <w:szCs w:val="28"/>
        </w:rPr>
      </w:pPr>
      <w:r>
        <w:rPr>
          <w:sz w:val="28"/>
          <w:szCs w:val="28"/>
        </w:rPr>
        <w:t>2. В случае если ежегодный оплачиваемый отпуск предоставляется муниципальному служащему по частям, единовременная выплата производится при предоставлении одной из частей отпуска по выбору муниципального служащего, составляющей не менее 14 календарных дней.</w:t>
      </w:r>
    </w:p>
    <w:p>
      <w:pPr>
        <w:pStyle w:val="Normal"/>
        <w:ind w:firstLine="540"/>
        <w:jc w:val="both"/>
        <w:rPr>
          <w:sz w:val="28"/>
          <w:szCs w:val="28"/>
        </w:rPr>
      </w:pPr>
      <w:r>
        <w:rPr>
          <w:sz w:val="28"/>
          <w:szCs w:val="28"/>
        </w:rPr>
        <w:t>3. Единовременная выплата производится на основании заявления муниципального служащего о предоставлении ежегодного оплачиваемого отпуска (его части) один раз в текущем финансовом году.</w:t>
      </w:r>
    </w:p>
    <w:p>
      <w:pPr>
        <w:pStyle w:val="Normal"/>
        <w:jc w:val="right"/>
        <w:rPr/>
      </w:pPr>
      <w:r>
        <w:rPr/>
      </w:r>
    </w:p>
    <w:p>
      <w:pPr>
        <w:pStyle w:val="Normal"/>
        <w:rPr/>
      </w:pPr>
      <w:r>
        <w:rPr/>
      </w:r>
    </w:p>
    <w:p>
      <w:pPr>
        <w:pStyle w:val="Normal"/>
        <w:numPr>
          <w:ilvl w:val="0"/>
          <w:numId w:val="0"/>
        </w:numPr>
        <w:ind w:hanging="0" w:left="0"/>
        <w:outlineLvl w:val="0"/>
        <w:rPr>
          <w:sz w:val="28"/>
          <w:szCs w:val="28"/>
        </w:rPr>
      </w:pPr>
      <w:r>
        <w:rPr>
          <w:sz w:val="28"/>
          <w:szCs w:val="28"/>
        </w:rPr>
      </w:r>
    </w:p>
    <w:p>
      <w:pPr>
        <w:pStyle w:val="Normal"/>
        <w:rPr>
          <w:sz w:val="28"/>
        </w:rPr>
      </w:pPr>
      <w:r>
        <w:rPr>
          <w:sz w:val="28"/>
        </w:rPr>
        <w:t xml:space="preserve">Глава Новобурундуковского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numPr>
          <w:ilvl w:val="0"/>
          <w:numId w:val="0"/>
        </w:numPr>
        <w:ind w:hanging="0" w:left="0"/>
        <w:outlineLvl w:val="0"/>
        <w:rPr>
          <w:sz w:val="28"/>
          <w:szCs w:val="28"/>
        </w:rPr>
      </w:pPr>
      <w:r>
        <w:rPr>
          <w:sz w:val="28"/>
          <w:szCs w:val="28"/>
        </w:rPr>
        <w:t xml:space="preserve">                                                                      </w:t>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0"/>
        <w:jc w:val="right"/>
        <w:outlineLvl w:val="0"/>
        <w:rPr>
          <w:sz w:val="28"/>
          <w:szCs w:val="28"/>
        </w:rPr>
      </w:pPr>
      <w:r>
        <w:rPr>
          <w:sz w:val="28"/>
          <w:szCs w:val="28"/>
        </w:rPr>
      </w:r>
    </w:p>
    <w:p>
      <w:pPr>
        <w:pStyle w:val="Normal"/>
        <w:numPr>
          <w:ilvl w:val="0"/>
          <w:numId w:val="0"/>
        </w:numPr>
        <w:ind w:hanging="0" w:left="6237"/>
        <w:outlineLvl w:val="0"/>
        <w:rPr>
          <w:sz w:val="28"/>
          <w:szCs w:val="28"/>
        </w:rPr>
      </w:pPr>
      <w:r>
        <w:rPr>
          <w:sz w:val="28"/>
          <w:szCs w:val="28"/>
        </w:rPr>
        <w:t>Приложение № 9</w:t>
      </w:r>
    </w:p>
    <w:p>
      <w:pPr>
        <w:pStyle w:val="Normal"/>
        <w:numPr>
          <w:ilvl w:val="0"/>
          <w:numId w:val="0"/>
        </w:numPr>
        <w:ind w:hanging="0" w:left="6237"/>
        <w:outlineLvl w:val="0"/>
        <w:rPr>
          <w:sz w:val="28"/>
          <w:szCs w:val="28"/>
        </w:rPr>
      </w:pPr>
      <w:r>
        <w:rPr>
          <w:sz w:val="28"/>
          <w:szCs w:val="28"/>
        </w:rPr>
        <w:t>Утверждены</w:t>
      </w:r>
    </w:p>
    <w:p>
      <w:pPr>
        <w:pStyle w:val="Normal"/>
        <w:numPr>
          <w:ilvl w:val="0"/>
          <w:numId w:val="0"/>
        </w:numPr>
        <w:ind w:hanging="0" w:left="6237"/>
        <w:outlineLvl w:val="0"/>
        <w:rPr>
          <w:sz w:val="28"/>
          <w:szCs w:val="28"/>
        </w:rPr>
      </w:pPr>
      <w:r>
        <w:rPr>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Normal"/>
        <w:jc w:val="center"/>
        <w:rPr>
          <w:color w:val="FF0000"/>
          <w:sz w:val="28"/>
          <w:szCs w:val="28"/>
        </w:rPr>
      </w:pPr>
      <w:r>
        <w:rPr>
          <w:color w:val="FF0000"/>
          <w:sz w:val="28"/>
          <w:szCs w:val="28"/>
        </w:rPr>
      </w:r>
    </w:p>
    <w:p>
      <w:pPr>
        <w:pStyle w:val="Normal"/>
        <w:jc w:val="center"/>
        <w:rPr>
          <w:color w:val="FF0000"/>
        </w:rPr>
      </w:pPr>
      <w:r>
        <w:rPr>
          <w:color w:val="FF0000"/>
        </w:rPr>
      </w:r>
    </w:p>
    <w:p>
      <w:pPr>
        <w:pStyle w:val="ConsPlusTitle"/>
        <w:widowControl/>
        <w:jc w:val="center"/>
        <w:rPr/>
      </w:pPr>
      <w:r>
        <w:rPr/>
        <w:t>РАЗМЕРЫ И ПОРЯДОК</w:t>
      </w:r>
    </w:p>
    <w:p>
      <w:pPr>
        <w:pStyle w:val="ConsPlusTitle"/>
        <w:widowControl/>
        <w:jc w:val="center"/>
        <w:rPr/>
      </w:pPr>
      <w:r>
        <w:rPr/>
        <w:t xml:space="preserve">ОСУЩЕСТВЛЕНИЯ ВЫПЛАТЫ МАТЕРИАЛЬНОЙ ПОМОЩИ МУНИЦИПАЛЬНЫМ СЛУЖАЩИМ НОВОБУРУНДУКОВСКОГО СЕЛЬСКОГО ПОСЕЛЕНИЯ </w:t>
      </w:r>
    </w:p>
    <w:p>
      <w:pPr>
        <w:pStyle w:val="Normal"/>
        <w:ind w:firstLine="540"/>
        <w:jc w:val="both"/>
        <w:rPr>
          <w:sz w:val="28"/>
          <w:szCs w:val="28"/>
        </w:rPr>
      </w:pPr>
      <w:r>
        <w:rPr>
          <w:sz w:val="28"/>
          <w:szCs w:val="28"/>
        </w:rPr>
        <w:t xml:space="preserve"> </w:t>
      </w:r>
      <w:r>
        <w:rPr>
          <w:sz w:val="28"/>
          <w:szCs w:val="28"/>
        </w:rPr>
        <w:t>1. Материальная помощь может выплачиваться по усмотрению руководителя органа местного самоуправления (муниципального органа) при рождении ребенка, к торжественной, юбилейной дате, а также при тяжелой болезни, смерти и других несчастных случаях служащего и его близких родственников.</w:t>
      </w:r>
    </w:p>
    <w:p>
      <w:pPr>
        <w:pStyle w:val="Normal"/>
        <w:ind w:firstLine="540"/>
        <w:jc w:val="both"/>
        <w:rPr>
          <w:sz w:val="28"/>
          <w:szCs w:val="28"/>
        </w:rPr>
      </w:pPr>
      <w:r>
        <w:rPr>
          <w:sz w:val="28"/>
          <w:szCs w:val="28"/>
        </w:rPr>
        <w:t>2. Выплата материальной помощи производится за счет экономии фонда оплаты труда, основанием для выплаты является правовой акт руководителя органа местного самоуправления (муниципального органа).</w:t>
      </w:r>
    </w:p>
    <w:p>
      <w:pPr>
        <w:pStyle w:val="Normal"/>
        <w:jc w:val="center"/>
        <w:rPr>
          <w:color w:val="FF0000"/>
        </w:rPr>
      </w:pPr>
      <w:r>
        <w:rPr>
          <w:color w:val="FF0000"/>
        </w:rPr>
      </w:r>
    </w:p>
    <w:p>
      <w:pPr>
        <w:pStyle w:val="Normal"/>
        <w:jc w:val="right"/>
        <w:rPr/>
      </w:pPr>
      <w:r>
        <w:rPr/>
      </w:r>
    </w:p>
    <w:p>
      <w:pPr>
        <w:pStyle w:val="Normal"/>
        <w:numPr>
          <w:ilvl w:val="0"/>
          <w:numId w:val="0"/>
        </w:numPr>
        <w:ind w:hanging="0" w:left="0"/>
        <w:jc w:val="right"/>
        <w:outlineLvl w:val="0"/>
        <w:rPr/>
      </w:pPr>
      <w:r>
        <w:rPr/>
      </w:r>
    </w:p>
    <w:p>
      <w:pPr>
        <w:pStyle w:val="Normal"/>
        <w:rPr>
          <w:sz w:val="28"/>
        </w:rPr>
      </w:pPr>
      <w:r>
        <w:rPr>
          <w:sz w:val="28"/>
        </w:rPr>
        <w:t xml:space="preserve">Глава Новобурундуковского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firstLine="708" w:left="5529"/>
        <w:outlineLvl w:val="0"/>
        <w:rPr>
          <w:sz w:val="28"/>
          <w:szCs w:val="28"/>
        </w:rPr>
      </w:pPr>
      <w:r>
        <w:rPr>
          <w:sz w:val="28"/>
          <w:szCs w:val="28"/>
        </w:rPr>
        <w:t>Приложение № 10</w:t>
      </w:r>
    </w:p>
    <w:p>
      <w:pPr>
        <w:pStyle w:val="Normal"/>
        <w:numPr>
          <w:ilvl w:val="0"/>
          <w:numId w:val="0"/>
        </w:numPr>
        <w:ind w:hanging="0" w:left="6237"/>
        <w:outlineLvl w:val="0"/>
        <w:rPr>
          <w:sz w:val="28"/>
          <w:szCs w:val="28"/>
        </w:rPr>
      </w:pPr>
      <w:r>
        <w:rPr>
          <w:sz w:val="28"/>
          <w:szCs w:val="28"/>
        </w:rPr>
        <w:t>Утвержден</w:t>
      </w:r>
    </w:p>
    <w:p>
      <w:pPr>
        <w:pStyle w:val="Normal"/>
        <w:numPr>
          <w:ilvl w:val="0"/>
          <w:numId w:val="0"/>
        </w:numPr>
        <w:ind w:hanging="0" w:left="6237"/>
        <w:outlineLvl w:val="0"/>
        <w:rPr>
          <w:sz w:val="28"/>
          <w:szCs w:val="28"/>
        </w:rPr>
      </w:pPr>
      <w:r>
        <w:rPr>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ConsPlusTitle"/>
        <w:widowControl/>
        <w:jc w:val="center"/>
        <w:rPr>
          <w:sz w:val="28"/>
          <w:szCs w:val="28"/>
        </w:rPr>
      </w:pPr>
      <w:r>
        <w:rPr>
          <w:sz w:val="28"/>
          <w:szCs w:val="28"/>
        </w:rPr>
      </w:r>
    </w:p>
    <w:p>
      <w:pPr>
        <w:pStyle w:val="ConsPlusTitle"/>
        <w:widowControl/>
        <w:jc w:val="center"/>
        <w:rPr/>
      </w:pPr>
      <w:r>
        <w:rPr/>
        <w:t>ПОРЯДОК</w:t>
      </w:r>
    </w:p>
    <w:p>
      <w:pPr>
        <w:pStyle w:val="ConsPlusTitle"/>
        <w:widowControl/>
        <w:jc w:val="center"/>
        <w:rPr/>
      </w:pPr>
      <w:r>
        <w:rPr/>
        <w:t>УСТАНОВЛЕНИЯ ЕЖЕМЕСЯЧНОЙ НАДБАВКИ К ДОЛЖНОСТНОМУ ОКЛАДУ</w:t>
      </w:r>
    </w:p>
    <w:p>
      <w:pPr>
        <w:pStyle w:val="ConsPlusTitle"/>
        <w:widowControl/>
        <w:jc w:val="center"/>
        <w:rPr/>
      </w:pPr>
      <w:r>
        <w:rPr/>
        <w:t>ЗА ПРОФИЛЬНУЮ УЧЕНУЮ СТЕПЕНЬ КАНДИДАТА НАУК,</w:t>
      </w:r>
    </w:p>
    <w:p>
      <w:pPr>
        <w:pStyle w:val="ConsPlusTitle"/>
        <w:widowControl/>
        <w:jc w:val="center"/>
        <w:rPr/>
      </w:pPr>
      <w:r>
        <w:rPr/>
        <w:t>УЧЕНУЮ СТЕПЕНЬ ДОКТОРА НАУК</w:t>
      </w:r>
    </w:p>
    <w:p>
      <w:pPr>
        <w:pStyle w:val="Normal"/>
        <w:ind w:firstLine="540"/>
        <w:jc w:val="both"/>
        <w:rPr>
          <w:sz w:val="28"/>
          <w:szCs w:val="28"/>
        </w:rPr>
      </w:pPr>
      <w:r>
        <w:rPr>
          <w:sz w:val="28"/>
          <w:szCs w:val="28"/>
        </w:rPr>
        <w:t>1. Основанием для установления надбавки является наличие у муниципального служащего профильной ученой степени, подтвержденной соответствующим документом, утвержденным Высшей Аттестационной Комиссией (ВАК) при Министерстве образования и науки Российской Федерации, научными и образовательными организациями, которым предоставлено право самостоятельно присуждать ученую степень кандидата и доктора наук.</w:t>
      </w:r>
    </w:p>
    <w:p>
      <w:pPr>
        <w:pStyle w:val="Normal"/>
        <w:ind w:firstLine="540"/>
        <w:jc w:val="both"/>
        <w:rPr>
          <w:sz w:val="28"/>
          <w:szCs w:val="28"/>
        </w:rPr>
      </w:pPr>
      <w:r>
        <w:rPr>
          <w:sz w:val="28"/>
          <w:szCs w:val="28"/>
        </w:rPr>
        <w:t>Требования по профильности ученой степени определяются функциями органов местного самоуправления (муниципального органа) и устанавливаются правовыми актами руководителей органов местного самоуправления (работодателя).</w:t>
      </w:r>
    </w:p>
    <w:p>
      <w:pPr>
        <w:pStyle w:val="Normal"/>
        <w:ind w:firstLine="540"/>
        <w:jc w:val="both"/>
        <w:rPr>
          <w:sz w:val="28"/>
          <w:szCs w:val="28"/>
        </w:rPr>
      </w:pPr>
      <w:r>
        <w:rPr>
          <w:sz w:val="28"/>
          <w:szCs w:val="28"/>
        </w:rPr>
        <w:t>2. Надбавка за ученую степень муниципальному служащему, имеющему право на ее получение по нескольким основаниям, устанавливается по одному основанию по выбору муниципального служащего. Надбавка устанавливается в следующих размерах:</w:t>
      </w:r>
    </w:p>
    <w:p>
      <w:pPr>
        <w:pStyle w:val="Normal"/>
        <w:ind w:firstLine="540"/>
        <w:jc w:val="both"/>
        <w:rPr>
          <w:sz w:val="28"/>
          <w:szCs w:val="28"/>
        </w:rPr>
      </w:pPr>
      <w:r>
        <w:rPr>
          <w:sz w:val="28"/>
          <w:szCs w:val="28"/>
        </w:rPr>
        <w:t>- за ученую степень кандидата наук – до 1,5 процентов должностного оклада;</w:t>
      </w:r>
    </w:p>
    <w:p>
      <w:pPr>
        <w:pStyle w:val="Normal"/>
        <w:ind w:firstLine="540"/>
        <w:jc w:val="both"/>
        <w:rPr>
          <w:sz w:val="28"/>
          <w:szCs w:val="28"/>
        </w:rPr>
      </w:pPr>
      <w:r>
        <w:rPr>
          <w:sz w:val="28"/>
          <w:szCs w:val="28"/>
        </w:rPr>
        <w:t>- за ученую степень доктора наук – до 2 процентов должностного оклада.</w:t>
      </w:r>
    </w:p>
    <w:p>
      <w:pPr>
        <w:pStyle w:val="Normal"/>
        <w:ind w:firstLine="540"/>
        <w:jc w:val="both"/>
        <w:rPr>
          <w:sz w:val="28"/>
          <w:szCs w:val="28"/>
        </w:rPr>
      </w:pPr>
      <w:r>
        <w:rPr>
          <w:sz w:val="28"/>
          <w:szCs w:val="28"/>
        </w:rPr>
        <w:t>3. Начисление надбавки производится ежемесячно и выплачивается вместе с денежным содержанием за счет средств фонда оплаты труда органа местного самоуправления (муниципального органа).</w:t>
      </w:r>
    </w:p>
    <w:p>
      <w:pPr>
        <w:pStyle w:val="Normal"/>
        <w:ind w:firstLine="540"/>
        <w:jc w:val="both"/>
        <w:rPr>
          <w:sz w:val="28"/>
          <w:szCs w:val="28"/>
        </w:rPr>
      </w:pPr>
      <w:r>
        <w:rPr>
          <w:sz w:val="28"/>
          <w:szCs w:val="28"/>
        </w:rPr>
        <w:t>4. Надбавка устанавливается с 1-го числа месяца, следующего за месяцем представления документа, подтверждающего присвоение ученой степени. Действие акта о назначении надбавки муниципальному служащему распространяется на весь период его работы в должности, по которой она назначена, при условии действия настоящего решения.</w:t>
      </w:r>
    </w:p>
    <w:p>
      <w:pPr>
        <w:pStyle w:val="Normal"/>
        <w:ind w:firstLine="540"/>
        <w:jc w:val="both"/>
        <w:rPr>
          <w:sz w:val="28"/>
          <w:szCs w:val="28"/>
        </w:rPr>
      </w:pPr>
      <w:r>
        <w:rPr>
          <w:sz w:val="28"/>
          <w:szCs w:val="28"/>
        </w:rPr>
        <w:t>5. Решение об установлении данной выплаты муниципальным служащим принимается руководителем органа местного самоуправления (муниципального органа).</w:t>
      </w:r>
    </w:p>
    <w:p>
      <w:pPr>
        <w:pStyle w:val="Normal"/>
        <w:jc w:val="both"/>
        <w:rPr>
          <w:sz w:val="28"/>
        </w:rPr>
      </w:pPr>
      <w:r>
        <w:rPr>
          <w:sz w:val="28"/>
        </w:rPr>
        <w:t>Глава Новобурундуковского</w:t>
      </w:r>
    </w:p>
    <w:p>
      <w:pPr>
        <w:pStyle w:val="Normal"/>
        <w:jc w:val="both"/>
        <w:rPr>
          <w:sz w:val="28"/>
        </w:rPr>
      </w:pPr>
      <w:r>
        <w:rPr>
          <w:sz w:val="28"/>
        </w:rPr>
        <w:t xml:space="preserve">  </w:t>
      </w:r>
      <w:r>
        <w:rPr>
          <w:sz w:val="28"/>
        </w:rPr>
        <w:t xml:space="preserve">сельского поселения </w:t>
        <w:tab/>
        <w:tab/>
        <w:tab/>
        <w:tab/>
        <w:tab/>
        <w:tab/>
        <w:t>В.Г.Ранцев</w:t>
      </w:r>
    </w:p>
    <w:p>
      <w:pPr>
        <w:pStyle w:val="Normal"/>
        <w:numPr>
          <w:ilvl w:val="0"/>
          <w:numId w:val="0"/>
        </w:numPr>
        <w:ind w:hanging="0" w:left="6237"/>
        <w:outlineLvl w:val="0"/>
        <w:rPr>
          <w:sz w:val="28"/>
          <w:szCs w:val="28"/>
        </w:rPr>
      </w:pPr>
      <w:r>
        <w:rPr>
          <w:sz w:val="28"/>
          <w:szCs w:val="28"/>
        </w:rPr>
        <w:t>Приложение № 11</w:t>
      </w:r>
    </w:p>
    <w:p>
      <w:pPr>
        <w:pStyle w:val="Normal"/>
        <w:numPr>
          <w:ilvl w:val="0"/>
          <w:numId w:val="0"/>
        </w:numPr>
        <w:ind w:hanging="0" w:left="6237"/>
        <w:outlineLvl w:val="0"/>
        <w:rPr>
          <w:sz w:val="28"/>
          <w:szCs w:val="28"/>
        </w:rPr>
      </w:pPr>
      <w:r>
        <w:rPr>
          <w:sz w:val="28"/>
          <w:szCs w:val="28"/>
        </w:rPr>
        <w:t>Утвержден</w:t>
      </w:r>
    </w:p>
    <w:p>
      <w:pPr>
        <w:pStyle w:val="Normal"/>
        <w:numPr>
          <w:ilvl w:val="0"/>
          <w:numId w:val="0"/>
        </w:numPr>
        <w:ind w:hanging="0" w:left="6237"/>
        <w:outlineLvl w:val="0"/>
        <w:rPr>
          <w:sz w:val="28"/>
          <w:szCs w:val="28"/>
        </w:rPr>
      </w:pPr>
      <w:r>
        <w:rPr>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Normal"/>
        <w:ind w:firstLine="540"/>
        <w:jc w:val="right"/>
        <w:rPr/>
      </w:pPr>
      <w:r>
        <w:rPr/>
      </w:r>
    </w:p>
    <w:p>
      <w:pPr>
        <w:pStyle w:val="ConsPlusTitle"/>
        <w:widowControl/>
        <w:rPr>
          <w:sz w:val="28"/>
          <w:szCs w:val="28"/>
        </w:rPr>
      </w:pPr>
      <w:r>
        <w:rPr>
          <w:sz w:val="28"/>
          <w:szCs w:val="28"/>
        </w:rPr>
      </w:r>
    </w:p>
    <w:p>
      <w:pPr>
        <w:pStyle w:val="ConsPlusTitle"/>
        <w:widowControl/>
        <w:jc w:val="center"/>
        <w:rPr/>
      </w:pPr>
      <w:r>
        <w:rPr/>
        <w:t>ПОРЯДОК</w:t>
      </w:r>
    </w:p>
    <w:p>
      <w:pPr>
        <w:pStyle w:val="ConsPlusTitle"/>
        <w:widowControl/>
        <w:jc w:val="center"/>
        <w:rPr/>
      </w:pPr>
      <w:r>
        <w:rPr/>
        <w:t>УСТАНОВЛЕНИЯ ЕЖЕМЕСЯЧНОЙ НАДБАВКИ К ДОЛЖНОСТНОМУ ОКЛАДУ ЗА ПОЧЕТНЫЕ ЗВАНИЯ</w:t>
      </w:r>
    </w:p>
    <w:p>
      <w:pPr>
        <w:pStyle w:val="Normal"/>
        <w:ind w:firstLine="540"/>
        <w:jc w:val="both"/>
        <w:rPr/>
      </w:pPr>
      <w:r>
        <w:rPr/>
      </w:r>
    </w:p>
    <w:p>
      <w:pPr>
        <w:pStyle w:val="Normal"/>
        <w:ind w:firstLine="540"/>
        <w:jc w:val="both"/>
        <w:rPr>
          <w:sz w:val="28"/>
          <w:szCs w:val="28"/>
        </w:rPr>
      </w:pPr>
      <w:r>
        <w:rPr>
          <w:sz w:val="28"/>
          <w:szCs w:val="28"/>
        </w:rPr>
        <w:t>1. Основанием для установления надбавки является наличие у муниципального служащего почетного звания Республики Татарстан, подтвержденного соответствующим документом (Указом Президента Республики Татарстан «О присвоении почетного звания»).</w:t>
      </w:r>
    </w:p>
    <w:p>
      <w:pPr>
        <w:pStyle w:val="Normal"/>
        <w:ind w:firstLine="540"/>
        <w:jc w:val="both"/>
        <w:rPr>
          <w:sz w:val="28"/>
          <w:szCs w:val="28"/>
        </w:rPr>
      </w:pPr>
      <w:r>
        <w:rPr>
          <w:sz w:val="28"/>
          <w:szCs w:val="28"/>
        </w:rPr>
        <w:t>2. Надбавка муниципальным служащим, имеющим почетное звание Республики Татарстан, устанавливается в размере 5,0 процентов должностного оклада.</w:t>
      </w:r>
    </w:p>
    <w:p>
      <w:pPr>
        <w:pStyle w:val="Normal"/>
        <w:ind w:firstLine="540"/>
        <w:jc w:val="both"/>
        <w:rPr>
          <w:sz w:val="28"/>
          <w:szCs w:val="28"/>
        </w:rPr>
      </w:pPr>
      <w:r>
        <w:rPr>
          <w:sz w:val="28"/>
          <w:szCs w:val="28"/>
        </w:rPr>
        <w:t>Надбавка за почетное звание Республики Татарстан муниципальному служащему, имеющему право на ее получение по нескольким основаниям, устанавливается по одному из оснований по выбору муниципального служащего.</w:t>
      </w:r>
    </w:p>
    <w:p>
      <w:pPr>
        <w:pStyle w:val="Normal"/>
        <w:ind w:firstLine="540"/>
        <w:jc w:val="both"/>
        <w:rPr>
          <w:sz w:val="28"/>
          <w:szCs w:val="28"/>
        </w:rPr>
      </w:pPr>
      <w:r>
        <w:rPr>
          <w:sz w:val="28"/>
          <w:szCs w:val="28"/>
        </w:rPr>
        <w:t>3. Начисление надбавки производится ежемесячно и выплачивается вместе с денежным содержанием за счет средств фонда оплаты труда органа местного самоуправления (муниципального органа).</w:t>
      </w:r>
    </w:p>
    <w:p>
      <w:pPr>
        <w:pStyle w:val="Normal"/>
        <w:ind w:firstLine="540"/>
        <w:jc w:val="both"/>
        <w:rPr>
          <w:sz w:val="28"/>
          <w:szCs w:val="28"/>
        </w:rPr>
      </w:pPr>
      <w:r>
        <w:rPr>
          <w:sz w:val="28"/>
          <w:szCs w:val="28"/>
        </w:rPr>
        <w:t>4. Решение об установлении данной выплаты муниципальным служащим принимается руководителем органа местного самоуправления (муниципального органа).</w:t>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rPr>
          <w:sz w:val="28"/>
        </w:rPr>
      </w:pPr>
      <w:r>
        <w:rPr>
          <w:sz w:val="28"/>
        </w:rPr>
        <w:t xml:space="preserve">Глава Новобурундуковского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jc w:val="right"/>
        <w:outlineLvl w:val="0"/>
        <w:rPr/>
      </w:pPr>
      <w:r>
        <w:rPr/>
      </w:r>
    </w:p>
    <w:p>
      <w:pPr>
        <w:pStyle w:val="Normal"/>
        <w:numPr>
          <w:ilvl w:val="0"/>
          <w:numId w:val="0"/>
        </w:numPr>
        <w:ind w:hanging="0" w:left="0"/>
        <w:outlineLvl w:val="0"/>
        <w:rPr/>
      </w:pPr>
      <w:r>
        <w:rPr/>
      </w:r>
    </w:p>
    <w:p>
      <w:pPr>
        <w:pStyle w:val="Normal"/>
        <w:numPr>
          <w:ilvl w:val="0"/>
          <w:numId w:val="0"/>
        </w:numPr>
        <w:ind w:hanging="0" w:left="0"/>
        <w:jc w:val="right"/>
        <w:outlineLvl w:val="0"/>
        <w:rPr/>
      </w:pPr>
      <w:r>
        <w:rPr/>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6237"/>
        <w:outlineLvl w:val="0"/>
        <w:rPr>
          <w:sz w:val="28"/>
          <w:szCs w:val="28"/>
        </w:rPr>
      </w:pPr>
      <w:r>
        <w:rPr>
          <w:sz w:val="28"/>
          <w:szCs w:val="28"/>
        </w:rPr>
        <w:t xml:space="preserve">                                                                          </w:t>
      </w:r>
      <w:r>
        <w:rPr>
          <w:sz w:val="28"/>
          <w:szCs w:val="28"/>
          <w:shd w:fill="BBE33D" w:val="clear"/>
        </w:rPr>
        <w:t>Приложение № 12</w:t>
      </w:r>
    </w:p>
    <w:p>
      <w:pPr>
        <w:pStyle w:val="Normal"/>
        <w:numPr>
          <w:ilvl w:val="0"/>
          <w:numId w:val="0"/>
        </w:numPr>
        <w:ind w:hanging="0" w:left="6237"/>
        <w:outlineLvl w:val="0"/>
        <w:rPr>
          <w:sz w:val="28"/>
          <w:szCs w:val="28"/>
        </w:rPr>
      </w:pPr>
      <w:r>
        <w:rPr>
          <w:sz w:val="28"/>
          <w:szCs w:val="28"/>
        </w:rPr>
        <w:t>Утверждены</w:t>
      </w:r>
    </w:p>
    <w:p>
      <w:pPr>
        <w:pStyle w:val="Normal"/>
        <w:numPr>
          <w:ilvl w:val="0"/>
          <w:numId w:val="0"/>
        </w:numPr>
        <w:ind w:hanging="0" w:left="6237"/>
        <w:outlineLvl w:val="0"/>
        <w:rPr>
          <w:sz w:val="28"/>
          <w:szCs w:val="28"/>
        </w:rPr>
      </w:pPr>
      <w:r>
        <w:rPr>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ConsPlusTitle"/>
        <w:widowControl/>
        <w:jc w:val="center"/>
        <w:rPr>
          <w:sz w:val="28"/>
          <w:szCs w:val="28"/>
        </w:rPr>
      </w:pPr>
      <w:r>
        <w:rPr>
          <w:sz w:val="28"/>
          <w:szCs w:val="28"/>
        </w:rPr>
      </w:r>
    </w:p>
    <w:p>
      <w:pPr>
        <w:pStyle w:val="ConsPlusTitle"/>
        <w:widowControl/>
        <w:jc w:val="center"/>
        <w:rPr>
          <w:sz w:val="28"/>
          <w:szCs w:val="28"/>
        </w:rPr>
      </w:pPr>
      <w:r>
        <w:rPr>
          <w:sz w:val="28"/>
          <w:szCs w:val="28"/>
        </w:rPr>
      </w:r>
    </w:p>
    <w:p>
      <w:pPr>
        <w:pStyle w:val="ConsPlusTitle"/>
        <w:widowControl/>
        <w:jc w:val="center"/>
        <w:rPr/>
      </w:pPr>
      <w:r>
        <w:rPr/>
        <w:t>ПОРЯДОК</w:t>
      </w:r>
    </w:p>
    <w:p>
      <w:pPr>
        <w:pStyle w:val="ConsPlusTitle"/>
        <w:widowControl/>
        <w:jc w:val="center"/>
        <w:rPr/>
      </w:pPr>
      <w:r>
        <w:rPr/>
        <w:t>И УСЛОВИЯ ВЫПЛАТЫ ЕДИНОВРЕМЕННОГО ПООЩРЕНИЯ</w:t>
      </w:r>
    </w:p>
    <w:p>
      <w:pPr>
        <w:pStyle w:val="ConsPlusTitle"/>
        <w:widowControl/>
        <w:rPr/>
      </w:pPr>
      <w:r>
        <w:rPr/>
        <w:t xml:space="preserve"> </w:t>
      </w:r>
      <w:r>
        <w:rPr/>
        <w:t>В СВЯЗИ С ВЫХОДОМ НА МУНИЦИПАЛЬНУЮ ПЕНСИЮ ЗА ВЫСЛУГУ ЛЕТ</w:t>
      </w:r>
    </w:p>
    <w:p>
      <w:pPr>
        <w:pStyle w:val="Normal"/>
        <w:ind w:firstLine="540"/>
        <w:jc w:val="both"/>
        <w:rPr/>
      </w:pPr>
      <w:r>
        <w:rPr/>
      </w:r>
    </w:p>
    <w:p>
      <w:pPr>
        <w:pStyle w:val="Normal"/>
        <w:ind w:firstLine="540"/>
        <w:jc w:val="both"/>
        <w:rPr>
          <w:sz w:val="28"/>
          <w:szCs w:val="28"/>
        </w:rPr>
      </w:pPr>
      <w:r>
        <w:rPr>
          <w:sz w:val="28"/>
          <w:szCs w:val="28"/>
        </w:rPr>
        <w:t xml:space="preserve">1. Лицу, замещающему муниципальную должность на постоянной основе, муниципальному служащему при увольнении с муниципальной должности и  муниципальной службы в связи с выходом на муниципальную пенсию за выслугу лет при наличии права доплаты к муниципальной пенсии выплачивается единовременное поощрение. </w:t>
      </w:r>
    </w:p>
    <w:p>
      <w:pPr>
        <w:pStyle w:val="Normal"/>
        <w:ind w:firstLine="567"/>
        <w:jc w:val="both"/>
        <w:rPr>
          <w:highlight w:val="none"/>
          <w:shd w:fill="BBE33D" w:val="clear"/>
        </w:rPr>
      </w:pPr>
      <w:r>
        <w:rPr>
          <w:sz w:val="28"/>
          <w:szCs w:val="28"/>
          <w:shd w:fill="BBE33D" w:val="clear"/>
        </w:rPr>
        <w:t>Лицу, замещающему муниципальную должность на постоянной основе, при увольнении в связи с выходом на муниципальную пенсию при наличии права на доплату к пенсии в соответствии с Законом Республики Татарстан от 12 февраля 2009 года № 15-ЗРТ «О гарантиях осуществления полномочий депутата представительного органа муниципального образования, члена выборного органа местного самоуправления, выборного должностного лица местного самоуправления в Республике Татарстан» выплачивается единовременное денежное вознаграждение в размере десятикратного месячного денежного вознаграждения, установленного по замещаемой должности в соответствии с настоящим решением.</w:t>
      </w:r>
    </w:p>
    <w:p>
      <w:pPr>
        <w:pStyle w:val="Normal"/>
        <w:ind w:firstLine="567"/>
        <w:jc w:val="both"/>
        <w:rPr>
          <w:highlight w:val="none"/>
          <w:shd w:fill="BBE33D" w:val="clear"/>
        </w:rPr>
      </w:pPr>
      <w:r>
        <w:rPr>
          <w:sz w:val="28"/>
          <w:szCs w:val="28"/>
          <w:shd w:fill="BBE33D" w:val="clear"/>
        </w:rPr>
        <w:t>Для определения размера единовременного денежного вознаграждения орган местного самоуправления Новобурундуковского сельского поселения представляет в Финансово-бюджетную палату Дрожжановского муниципального района Республики Татарстан (далее – ФБП) следующие документы:</w:t>
      </w:r>
    </w:p>
    <w:p>
      <w:pPr>
        <w:pStyle w:val="Normal"/>
        <w:ind w:firstLine="567"/>
        <w:jc w:val="both"/>
        <w:rPr>
          <w:highlight w:val="none"/>
          <w:shd w:fill="BBE33D" w:val="clear"/>
        </w:rPr>
      </w:pPr>
      <w:r>
        <w:rPr>
          <w:sz w:val="28"/>
          <w:szCs w:val="28"/>
          <w:shd w:fill="BBE33D" w:val="clear"/>
        </w:rPr>
        <w:t>решение о выплате единовременного денежного вознаграждения лицу, замещающему муниципальную должность Республики Татарстан в связи с выходом на пенсию;</w:t>
      </w:r>
    </w:p>
    <w:p>
      <w:pPr>
        <w:pStyle w:val="Normal"/>
        <w:ind w:firstLine="567"/>
        <w:jc w:val="both"/>
        <w:rPr>
          <w:highlight w:val="none"/>
          <w:shd w:fill="BBE33D" w:val="clear"/>
        </w:rPr>
      </w:pPr>
      <w:r>
        <w:rPr>
          <w:sz w:val="28"/>
          <w:szCs w:val="28"/>
          <w:shd w:fill="BBE33D" w:val="clear"/>
        </w:rPr>
        <w:t>справку о месячном денежном вознаграждении лица, замещающего муниципальную должность;</w:t>
      </w:r>
    </w:p>
    <w:p>
      <w:pPr>
        <w:pStyle w:val="Normal"/>
        <w:ind w:firstLine="567"/>
        <w:jc w:val="both"/>
        <w:rPr>
          <w:highlight w:val="none"/>
          <w:shd w:fill="BBE33D" w:val="clear"/>
        </w:rPr>
      </w:pPr>
      <w:r>
        <w:rPr>
          <w:sz w:val="28"/>
          <w:szCs w:val="28"/>
          <w:shd w:fill="BBE33D" w:val="clear"/>
        </w:rPr>
        <w:t>справку о стаже работы на муниципальной должности и муниципальной  службе, заверенную руководителем органа  местного самоуправления и кадровой службой органа местного самоуправления;</w:t>
      </w:r>
    </w:p>
    <w:p>
      <w:pPr>
        <w:pStyle w:val="Normal"/>
        <w:ind w:firstLine="567"/>
        <w:jc w:val="both"/>
        <w:rPr>
          <w:highlight w:val="none"/>
          <w:shd w:fill="BBE33D" w:val="clear"/>
        </w:rPr>
      </w:pPr>
      <w:r>
        <w:rPr>
          <w:sz w:val="28"/>
          <w:szCs w:val="28"/>
          <w:shd w:fill="BBE33D" w:val="clear"/>
        </w:rPr>
        <w:t>копии трудовой книжки и военного билета, заверенные кадровой службой органа местного самоуправления;</w:t>
      </w:r>
    </w:p>
    <w:p>
      <w:pPr>
        <w:pStyle w:val="Normal"/>
        <w:ind w:firstLine="567"/>
        <w:jc w:val="both"/>
        <w:rPr>
          <w:highlight w:val="none"/>
          <w:shd w:fill="BBE33D" w:val="clear"/>
        </w:rPr>
      </w:pPr>
      <w:r>
        <w:rPr>
          <w:sz w:val="28"/>
          <w:szCs w:val="28"/>
          <w:shd w:fill="BBE33D" w:val="clear"/>
        </w:rPr>
        <w:t>иные документы, необходимые в соответствии с законодательством для определения стажа работы лица, замещающего муниципальную должность.</w:t>
      </w:r>
    </w:p>
    <w:p>
      <w:pPr>
        <w:pStyle w:val="Normal"/>
        <w:ind w:firstLine="567"/>
        <w:jc w:val="both"/>
        <w:rPr>
          <w:highlight w:val="none"/>
          <w:shd w:fill="BBE33D" w:val="clear"/>
        </w:rPr>
      </w:pPr>
      <w:r>
        <w:rPr>
          <w:sz w:val="28"/>
          <w:szCs w:val="28"/>
          <w:shd w:fill="BBE33D" w:val="clear"/>
        </w:rPr>
        <w:t>Документы в соответствии с пунктом 1.4 настоящего Положения представляются в течение 5 календарных дней со дня принятия решения о выплате единовременного денежного вознаграждения лицу, замещающему муниципальную должность, или муниципальному служащему в связи с выходом на пенсию.</w:t>
      </w:r>
    </w:p>
    <w:p>
      <w:pPr>
        <w:pStyle w:val="Normal"/>
        <w:ind w:firstLine="567"/>
        <w:jc w:val="both"/>
        <w:rPr>
          <w:highlight w:val="none"/>
          <w:shd w:fill="BBE33D" w:val="clear"/>
        </w:rPr>
      </w:pPr>
      <w:r>
        <w:rPr>
          <w:sz w:val="28"/>
          <w:szCs w:val="28"/>
          <w:shd w:fill="BBE33D" w:val="clear"/>
        </w:rPr>
        <w:t>ФБП в течение 20 дней с момента принятия решения Советом Новобурундуковского сельского поселения Дрожжановского муниципального района Республики Татарстан о выделения средств из местного бюджета доводит до органа местного самоуправления уведомления о бюджетных ассигнованиях и о лимитах бюджетных обязательств для выплаты единовременного денежного вознаграждения.</w:t>
      </w:r>
    </w:p>
    <w:p>
      <w:pPr>
        <w:pStyle w:val="Normal"/>
        <w:ind w:firstLine="567"/>
        <w:jc w:val="both"/>
        <w:rPr>
          <w:highlight w:val="none"/>
          <w:shd w:fill="BBE33D" w:val="clear"/>
        </w:rPr>
      </w:pPr>
      <w:r>
        <w:rPr>
          <w:sz w:val="28"/>
          <w:szCs w:val="28"/>
          <w:shd w:fill="BBE33D" w:val="clear"/>
        </w:rPr>
        <w:t>Орган местного самоуправления на основании указанных уведомлений производит лицу, замещавшему муниципальную должность, или муниципальному служащему выплату единовременного денежного вознаграждения.</w:t>
      </w:r>
    </w:p>
    <w:p>
      <w:pPr>
        <w:pStyle w:val="Normal"/>
        <w:ind w:firstLine="567"/>
        <w:jc w:val="both"/>
        <w:rPr>
          <w:highlight w:val="none"/>
          <w:shd w:fill="BBE33D" w:val="clear"/>
        </w:rPr>
      </w:pPr>
      <w:r>
        <w:rPr>
          <w:sz w:val="28"/>
          <w:szCs w:val="28"/>
          <w:shd w:fill="BBE33D" w:val="clear"/>
        </w:rPr>
        <w:t>Единовременное денежное вознаграждение выплачивается один раз.</w:t>
      </w:r>
    </w:p>
    <w:p>
      <w:pPr>
        <w:pStyle w:val="Normal"/>
        <w:ind w:firstLine="540"/>
        <w:jc w:val="both"/>
        <w:rPr>
          <w:sz w:val="28"/>
          <w:szCs w:val="28"/>
        </w:rPr>
      </w:pPr>
      <w:r>
        <w:rPr>
          <w:sz w:val="28"/>
          <w:szCs w:val="28"/>
        </w:rPr>
        <w:t xml:space="preserve">Муниципальному служащему единовременное поощрение выплачивается в пятикратном размере его месячного денежного содержания по должности муниципальной службы, занимаемой на день увольнения, при наличии стажа муниципальной службы 15 лет и за каждый последующий полный год муниципальной службы – дополнительно по 0,5 ежемесячного денежного содержания, но не более десяти размеров ежемесячного денежного содержания. </w:t>
      </w:r>
    </w:p>
    <w:p>
      <w:pPr>
        <w:pStyle w:val="Normal"/>
        <w:ind w:firstLine="540"/>
        <w:jc w:val="both"/>
        <w:rPr>
          <w:sz w:val="28"/>
          <w:szCs w:val="28"/>
        </w:rPr>
      </w:pPr>
      <w:r>
        <w:rPr>
          <w:sz w:val="28"/>
          <w:szCs w:val="28"/>
        </w:rPr>
        <w:t>Стаж муниципальной службы определяется на день увольнения с муниципальной должности или муниципальной службы.</w:t>
      </w:r>
    </w:p>
    <w:p>
      <w:pPr>
        <w:pStyle w:val="Normal"/>
        <w:ind w:firstLine="540"/>
        <w:jc w:val="both"/>
        <w:rPr>
          <w:highlight w:val="none"/>
          <w:shd w:fill="BBE33D" w:val="clear"/>
        </w:rPr>
      </w:pPr>
      <w:r>
        <w:rPr>
          <w:sz w:val="28"/>
          <w:szCs w:val="28"/>
          <w:shd w:fill="BBE33D" w:val="clear"/>
        </w:rPr>
        <w:t>Для целей настоящей статьи под выходом на муниципальную пенсию за выслугу лет понимается увольнение с муниципальной должности или муниципальной службы по достижении возраста, дающего право на получение страховой пенсии по старости, или назначение пенсии по инвалидности в соответствии с Федеральным законом от 28 декабря 2013 года № 400-ФЗ «О страховых пенсиях», за исключением увольнения в связи с виновными действиями лица, замещающего муниципальную должность на постоянной основе или муниципального служащего, и при наличии стажа муниципальной службы, необходимого для получения муниципальной пенсии за выслугу лет.</w:t>
      </w:r>
    </w:p>
    <w:p>
      <w:pPr>
        <w:pStyle w:val="BodyTextFirstIndent"/>
        <w:bidi w:val="0"/>
        <w:spacing w:lineRule="auto" w:line="240"/>
        <w:ind w:firstLine="567" w:left="0" w:right="0"/>
        <w:jc w:val="both"/>
        <w:rPr>
          <w:highlight w:val="none"/>
          <w:shd w:fill="BBE33D" w:val="clear"/>
        </w:rPr>
      </w:pPr>
      <w:r>
        <w:rPr>
          <w:sz w:val="28"/>
          <w:szCs w:val="28"/>
          <w:shd w:fill="BBE33D" w:val="clear"/>
        </w:rPr>
        <w:t>В сумму месячного денежного вознаграждения, учитываемого при определении размера единовременного поощрения лица, замещающего муниципальную должность, включаются: ежемесячное денежное вознаграждение и ежемесячное денежное поощрение.</w:t>
      </w:r>
    </w:p>
    <w:p>
      <w:pPr>
        <w:pStyle w:val="Normal"/>
        <w:ind w:firstLine="540"/>
        <w:jc w:val="both"/>
        <w:rPr>
          <w:sz w:val="28"/>
          <w:szCs w:val="28"/>
        </w:rPr>
      </w:pPr>
      <w:r>
        <w:rPr>
          <w:color w:val="FF0000"/>
          <w:sz w:val="28"/>
          <w:szCs w:val="28"/>
        </w:rPr>
        <w:t xml:space="preserve">  </w:t>
      </w:r>
      <w:r>
        <w:rPr>
          <w:sz w:val="28"/>
          <w:szCs w:val="28"/>
        </w:rPr>
        <w:t>2. В состав месячного денежного содержания муниципального служащего, учитываемого при определении размера единовременного поощрения, включаются должностной оклад, оклад за классный чин, и ежемесячная надбавка к должностному окладу за особые условия муниципальной службы. В состав месячного денежного содержания включается также 1/12 размера единовременной выплаты при предоставлении ежегодного оплачиваемого отпуска.</w:t>
      </w:r>
    </w:p>
    <w:p>
      <w:pPr>
        <w:pStyle w:val="Normal"/>
        <w:ind w:firstLine="540"/>
        <w:jc w:val="both"/>
        <w:rPr>
          <w:color w:val="FF0000"/>
          <w:sz w:val="28"/>
          <w:szCs w:val="28"/>
        </w:rPr>
      </w:pPr>
      <w:r>
        <w:rPr>
          <w:color w:val="FF0000"/>
          <w:sz w:val="28"/>
          <w:szCs w:val="28"/>
        </w:rPr>
        <w:t xml:space="preserve">                                                                                                                                                                                                                                                                                                                                                                                                                                                                                                                                                                                                                                                                                                                                                                                                                                                                                                                                                                                                                                                                                                                                                                                                                                                                                                                                                                                                                                                                                                                                                                                                                                                                                                                                                                                                                                                                                                                                                                                                                                                                                                                                                                                                                                                                                                                                                                                                                                                                                                                                                                                                                                                                                                                                                                                                                                                                                                                                                                                                                                                                                                                                                                                                                                                                                                                                                                                                                                                                                                                                                                                                                                                                                                                                                                                                                                                                                                                                                                                                                                                                                                                                                                                                                                                                                                                                                                                                                                                                                                </w:t>
      </w:r>
    </w:p>
    <w:p>
      <w:pPr>
        <w:pStyle w:val="Normal"/>
        <w:ind w:firstLine="540"/>
        <w:jc w:val="both"/>
        <w:rPr>
          <w:sz w:val="28"/>
          <w:szCs w:val="28"/>
        </w:rPr>
      </w:pPr>
      <w:r>
        <w:rPr>
          <w:sz w:val="28"/>
          <w:szCs w:val="28"/>
        </w:rPr>
        <w:t>3. Решение о выплате единовременного поощрения, предусмотренного настоящей статьей, оформляется одновременно с решением об увольнении в связи с выходом на муниципальную пенсию за выслугу лет.</w:t>
      </w:r>
    </w:p>
    <w:p>
      <w:pPr>
        <w:pStyle w:val="Normal"/>
        <w:ind w:firstLine="540"/>
        <w:jc w:val="both"/>
        <w:rPr>
          <w:sz w:val="28"/>
          <w:szCs w:val="28"/>
        </w:rPr>
      </w:pPr>
      <w:r>
        <w:rPr>
          <w:sz w:val="28"/>
          <w:szCs w:val="28"/>
        </w:rPr>
        <w:t>4. Единовременное поощрение в связи с выходом на муниципальную пенсию за выслугу лет выплачивается органом, в котором муниципальный служащий проходит службу непосредственно перед увольнением, не позднее дня увольнения (последнего дня работы) муниципального служащего.</w:t>
      </w:r>
    </w:p>
    <w:p>
      <w:pPr>
        <w:pStyle w:val="Normal"/>
        <w:ind w:firstLine="540"/>
        <w:jc w:val="both"/>
        <w:rPr>
          <w:sz w:val="28"/>
          <w:szCs w:val="28"/>
        </w:rPr>
      </w:pPr>
      <w:r>
        <w:rPr>
          <w:sz w:val="28"/>
          <w:szCs w:val="28"/>
        </w:rPr>
        <w:t>5. Единовременное поощрение в связи с выходом на муниципальную пенсию за выслугу лет выплачивается один раз. При поступлении гражданина на муниципальную службу после выхода на муниципальную пенсию за выслугу лет и последующим прекращением муниципальной службы единовременное поощрение, предусмотренное настоящей статьей, повторно не выплачивается.</w:t>
      </w:r>
    </w:p>
    <w:p>
      <w:pPr>
        <w:pStyle w:val="Normal"/>
        <w:ind w:firstLine="540"/>
        <w:jc w:val="both"/>
        <w:rPr>
          <w:sz w:val="28"/>
          <w:szCs w:val="28"/>
        </w:rPr>
      </w:pPr>
      <w:r>
        <w:rPr>
          <w:sz w:val="28"/>
          <w:szCs w:val="28"/>
        </w:rPr>
        <w:t>6. Выплата единовременного поощрения осуществляется из средств местного бюджета.</w:t>
      </w:r>
    </w:p>
    <w:p>
      <w:pPr>
        <w:pStyle w:val="Normal"/>
        <w:jc w:val="both"/>
        <w:rPr/>
      </w:pPr>
      <w:r>
        <w:rPr/>
      </w:r>
    </w:p>
    <w:p>
      <w:pPr>
        <w:pStyle w:val="Normal"/>
        <w:jc w:val="both"/>
        <w:rPr/>
      </w:pPr>
      <w:r>
        <w:rPr/>
      </w:r>
    </w:p>
    <w:p>
      <w:pPr>
        <w:pStyle w:val="Normal"/>
        <w:rPr>
          <w:sz w:val="28"/>
        </w:rPr>
      </w:pPr>
      <w:r>
        <w:rPr>
          <w:sz w:val="28"/>
        </w:rPr>
        <w:t xml:space="preserve">Глава Новобурудуковского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ind w:firstLine="540"/>
        <w:jc w:val="both"/>
        <w:rPr/>
      </w:pPr>
      <w:r>
        <w:rPr/>
      </w:r>
    </w:p>
    <w:p>
      <w:pPr>
        <w:pStyle w:val="Normal"/>
        <w:ind w:firstLine="540"/>
        <w:jc w:val="both"/>
        <w:rPr/>
      </w:pPr>
      <w:r>
        <w:rPr/>
      </w:r>
    </w:p>
    <w:p>
      <w:pPr>
        <w:pStyle w:val="Normal"/>
        <w:ind w:firstLine="540"/>
        <w:jc w:val="both"/>
        <w:rPr/>
      </w:pPr>
      <w:r>
        <w:rPr/>
      </w:r>
    </w:p>
    <w:p>
      <w:pPr>
        <w:pStyle w:val="Normal"/>
        <w:ind w:firstLine="540"/>
        <w:jc w:val="both"/>
        <w:rPr/>
      </w:pPr>
      <w:r>
        <w:rPr/>
      </w:r>
    </w:p>
    <w:p>
      <w:pPr>
        <w:pStyle w:val="Normal"/>
        <w:ind w:firstLine="540"/>
        <w:jc w:val="both"/>
        <w:rPr/>
      </w:pPr>
      <w:r>
        <w:rPr/>
      </w:r>
    </w:p>
    <w:p>
      <w:pPr>
        <w:pStyle w:val="Normal"/>
        <w:ind w:firstLine="540"/>
        <w:jc w:val="both"/>
        <w:rPr/>
      </w:pPr>
      <w:r>
        <w:rPr/>
      </w:r>
    </w:p>
    <w:p>
      <w:pPr>
        <w:pStyle w:val="Normal"/>
        <w:ind w:firstLine="540"/>
        <w:jc w:val="both"/>
        <w:rPr/>
      </w:pPr>
      <w:r>
        <w:rPr/>
      </w:r>
    </w:p>
    <w:p>
      <w:pPr>
        <w:pStyle w:val="Normal"/>
        <w:ind w:firstLine="540"/>
        <w:jc w:val="both"/>
        <w:rPr/>
      </w:pPr>
      <w:r>
        <w:rPr/>
      </w:r>
    </w:p>
    <w:p>
      <w:pPr>
        <w:pStyle w:val="Normal"/>
        <w:ind w:firstLine="540"/>
        <w:jc w:val="both"/>
        <w:rPr/>
      </w:pPr>
      <w:r>
        <w:rPr/>
      </w:r>
    </w:p>
    <w:p>
      <w:pPr>
        <w:pStyle w:val="Normal"/>
        <w:jc w:val="both"/>
        <w:rPr/>
      </w:pPr>
      <w:r>
        <w:rPr/>
      </w:r>
    </w:p>
    <w:p>
      <w:pPr>
        <w:pStyle w:val="Normal"/>
        <w:ind w:firstLine="540"/>
        <w:jc w:val="both"/>
        <w:rPr/>
      </w:pPr>
      <w:r>
        <w:rPr/>
      </w:r>
    </w:p>
    <w:p>
      <w:pPr>
        <w:pStyle w:val="Normal"/>
        <w:ind w:firstLine="540"/>
        <w:jc w:val="both"/>
        <w:rPr/>
      </w:pPr>
      <w:r>
        <w:rPr/>
      </w:r>
    </w:p>
    <w:p>
      <w:pPr>
        <w:pStyle w:val="Normal"/>
        <w:ind w:firstLine="540"/>
        <w:jc w:val="both"/>
        <w:rPr/>
      </w:pPr>
      <w:r>
        <w:rPr/>
      </w:r>
    </w:p>
    <w:p>
      <w:pPr>
        <w:pStyle w:val="Normal"/>
        <w:ind w:firstLine="540"/>
        <w:jc w:val="both"/>
        <w:rPr/>
      </w:pPr>
      <w:r>
        <w:rPr/>
      </w:r>
    </w:p>
    <w:p>
      <w:pPr>
        <w:pStyle w:val="Normal"/>
        <w:ind w:firstLine="540"/>
        <w:jc w:val="both"/>
        <w:rPr/>
      </w:pPr>
      <w:r>
        <w:rPr/>
      </w:r>
    </w:p>
    <w:p>
      <w:pPr>
        <w:pStyle w:val="Normal"/>
        <w:ind w:firstLine="540"/>
        <w:jc w:val="both"/>
        <w:rPr/>
      </w:pPr>
      <w:r>
        <w:rPr/>
      </w:r>
    </w:p>
    <w:p>
      <w:pPr>
        <w:pStyle w:val="Normal"/>
        <w:numPr>
          <w:ilvl w:val="0"/>
          <w:numId w:val="0"/>
        </w:numPr>
        <w:ind w:hanging="0" w:left="0"/>
        <w:jc w:val="right"/>
        <w:outlineLvl w:val="0"/>
        <w:rPr>
          <w:sz w:val="28"/>
          <w:szCs w:val="28"/>
        </w:rPr>
      </w:pPr>
      <w:r>
        <w:rPr/>
      </w:r>
    </w:p>
    <w:p>
      <w:pPr>
        <w:pStyle w:val="Normal"/>
        <w:numPr>
          <w:ilvl w:val="0"/>
          <w:numId w:val="0"/>
        </w:numPr>
        <w:ind w:hanging="0" w:left="0"/>
        <w:jc w:val="right"/>
        <w:outlineLvl w:val="0"/>
        <w:rPr>
          <w:sz w:val="28"/>
          <w:szCs w:val="28"/>
        </w:rPr>
      </w:pPr>
      <w:r>
        <w:rPr/>
      </w:r>
    </w:p>
    <w:p>
      <w:pPr>
        <w:pStyle w:val="Normal"/>
        <w:numPr>
          <w:ilvl w:val="0"/>
          <w:numId w:val="0"/>
        </w:numPr>
        <w:ind w:hanging="0" w:left="0"/>
        <w:jc w:val="right"/>
        <w:outlineLvl w:val="0"/>
        <w:rPr>
          <w:sz w:val="28"/>
          <w:szCs w:val="28"/>
        </w:rPr>
      </w:pPr>
      <w:r>
        <w:rPr/>
      </w:r>
    </w:p>
    <w:p>
      <w:pPr>
        <w:pStyle w:val="Normal"/>
        <w:numPr>
          <w:ilvl w:val="0"/>
          <w:numId w:val="0"/>
        </w:numPr>
        <w:ind w:hanging="0" w:left="0"/>
        <w:jc w:val="right"/>
        <w:outlineLvl w:val="0"/>
        <w:rPr>
          <w:sz w:val="28"/>
          <w:szCs w:val="28"/>
        </w:rPr>
      </w:pPr>
      <w:r>
        <w:rPr/>
      </w:r>
    </w:p>
    <w:p>
      <w:pPr>
        <w:pStyle w:val="Normal"/>
        <w:numPr>
          <w:ilvl w:val="0"/>
          <w:numId w:val="0"/>
        </w:numPr>
        <w:ind w:hanging="0" w:left="0"/>
        <w:jc w:val="right"/>
        <w:outlineLvl w:val="0"/>
        <w:rPr>
          <w:sz w:val="28"/>
          <w:szCs w:val="28"/>
        </w:rPr>
      </w:pPr>
      <w:r>
        <w:rPr/>
      </w:r>
    </w:p>
    <w:p>
      <w:pPr>
        <w:pStyle w:val="Normal"/>
        <w:numPr>
          <w:ilvl w:val="0"/>
          <w:numId w:val="0"/>
        </w:numPr>
        <w:ind w:hanging="0" w:left="0"/>
        <w:jc w:val="right"/>
        <w:outlineLvl w:val="0"/>
        <w:rPr>
          <w:sz w:val="28"/>
          <w:szCs w:val="28"/>
        </w:rPr>
      </w:pPr>
      <w:r>
        <w:rPr/>
      </w:r>
    </w:p>
    <w:p>
      <w:pPr>
        <w:pStyle w:val="Normal"/>
        <w:numPr>
          <w:ilvl w:val="0"/>
          <w:numId w:val="0"/>
        </w:numPr>
        <w:ind w:hanging="0" w:left="0"/>
        <w:jc w:val="right"/>
        <w:outlineLvl w:val="0"/>
        <w:rPr>
          <w:sz w:val="28"/>
          <w:szCs w:val="28"/>
        </w:rPr>
      </w:pPr>
      <w:r>
        <w:rPr>
          <w:sz w:val="28"/>
          <w:szCs w:val="28"/>
        </w:rPr>
        <w:t xml:space="preserve">                                                                        </w:t>
      </w:r>
    </w:p>
    <w:p>
      <w:pPr>
        <w:pStyle w:val="Normal"/>
        <w:numPr>
          <w:ilvl w:val="0"/>
          <w:numId w:val="0"/>
        </w:numPr>
        <w:ind w:hanging="0" w:left="6237"/>
        <w:outlineLvl w:val="0"/>
        <w:rPr>
          <w:sz w:val="28"/>
          <w:szCs w:val="28"/>
        </w:rPr>
      </w:pPr>
      <w:r>
        <w:rPr>
          <w:sz w:val="28"/>
          <w:szCs w:val="28"/>
        </w:rPr>
        <w:t>Приложение № 13</w:t>
      </w:r>
    </w:p>
    <w:p>
      <w:pPr>
        <w:pStyle w:val="Normal"/>
        <w:numPr>
          <w:ilvl w:val="0"/>
          <w:numId w:val="0"/>
        </w:numPr>
        <w:ind w:hanging="0" w:left="6237"/>
        <w:outlineLvl w:val="0"/>
        <w:rPr>
          <w:sz w:val="28"/>
          <w:szCs w:val="28"/>
        </w:rPr>
      </w:pPr>
      <w:r>
        <w:rPr>
          <w:sz w:val="28"/>
          <w:szCs w:val="28"/>
        </w:rPr>
        <w:t>Утверждены</w:t>
      </w:r>
    </w:p>
    <w:p>
      <w:pPr>
        <w:pStyle w:val="Normal"/>
        <w:numPr>
          <w:ilvl w:val="0"/>
          <w:numId w:val="0"/>
        </w:numPr>
        <w:ind w:hanging="0" w:left="6237"/>
        <w:outlineLvl w:val="0"/>
        <w:rPr>
          <w:sz w:val="28"/>
          <w:szCs w:val="28"/>
        </w:rPr>
      </w:pPr>
      <w:r>
        <w:rPr>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ConsPlusTitle"/>
        <w:widowControl/>
        <w:jc w:val="right"/>
        <w:rPr>
          <w:sz w:val="28"/>
          <w:szCs w:val="28"/>
        </w:rPr>
      </w:pPr>
      <w:r>
        <w:rPr>
          <w:sz w:val="28"/>
          <w:szCs w:val="28"/>
        </w:rPr>
      </w:r>
    </w:p>
    <w:p>
      <w:pPr>
        <w:pStyle w:val="ConsPlusTitle"/>
        <w:widowControl/>
        <w:jc w:val="center"/>
        <w:rPr>
          <w:sz w:val="28"/>
          <w:szCs w:val="28"/>
        </w:rPr>
      </w:pPr>
      <w:r>
        <w:rPr>
          <w:sz w:val="28"/>
          <w:szCs w:val="28"/>
        </w:rPr>
      </w:r>
    </w:p>
    <w:p>
      <w:pPr>
        <w:pStyle w:val="ConsPlusTitle"/>
        <w:widowControl/>
        <w:jc w:val="center"/>
        <w:rPr/>
      </w:pPr>
      <w:r>
        <w:rPr/>
        <w:t>ПОРЯДОК</w:t>
      </w:r>
    </w:p>
    <w:p>
      <w:pPr>
        <w:pStyle w:val="ConsPlusTitle"/>
        <w:widowControl/>
        <w:jc w:val="center"/>
        <w:rPr/>
      </w:pPr>
      <w:r>
        <w:rPr/>
        <w:t>И УСЛОВИЯ ПРЕДОСТАВЛЕНИЯ ДОПОЛНИТЕЛЬНЫХ ГАРАНТИЙ</w:t>
      </w:r>
    </w:p>
    <w:p>
      <w:pPr>
        <w:pStyle w:val="ConsPlusTitle"/>
        <w:widowControl/>
        <w:jc w:val="center"/>
        <w:rPr/>
      </w:pPr>
      <w:r>
        <w:rPr/>
        <w:t>МУНИЦИПАЛЬНЫМ СЛУЖАЩИМ НОВОБУРУНДУКОВСКОГО СЕЛЬСКОГО ПОСЕЛЕНИЯ ДРОЖЖАНОВСКОГО МУНИЦИПАЛЬНОГО РАЙОНА РЕСПУБЛИКИ ТАТАРСТАН</w:t>
      </w:r>
    </w:p>
    <w:p>
      <w:pPr>
        <w:pStyle w:val="Normal"/>
        <w:ind w:firstLine="540"/>
        <w:jc w:val="both"/>
        <w:rPr>
          <w:sz w:val="28"/>
          <w:szCs w:val="28"/>
        </w:rPr>
      </w:pPr>
      <w:r>
        <w:rPr>
          <w:sz w:val="28"/>
          <w:szCs w:val="28"/>
        </w:rPr>
      </w:r>
    </w:p>
    <w:p>
      <w:pPr>
        <w:pStyle w:val="Normal"/>
        <w:ind w:firstLine="540"/>
        <w:jc w:val="both"/>
        <w:rPr>
          <w:sz w:val="28"/>
          <w:szCs w:val="28"/>
        </w:rPr>
      </w:pPr>
      <w:r>
        <w:rPr>
          <w:sz w:val="28"/>
          <w:szCs w:val="28"/>
        </w:rPr>
        <w:t>1. Муниципальным служащим в дополнение к муниципальным гарантиям предоставляется право на:</w:t>
      </w:r>
    </w:p>
    <w:p>
      <w:pPr>
        <w:pStyle w:val="Normal"/>
        <w:ind w:firstLine="540"/>
        <w:jc w:val="both"/>
        <w:rPr>
          <w:sz w:val="28"/>
          <w:szCs w:val="28"/>
        </w:rPr>
      </w:pPr>
      <w:r>
        <w:rPr>
          <w:sz w:val="28"/>
          <w:szCs w:val="28"/>
        </w:rPr>
        <w:t>1) профессиональную переподготовку, повышение квалификации и стажировку с сохранением на этот период замещаемой должности муниципальной службы и денежного содержания в соответствии с федеральным законодательством, законодательством Республики Татарстан и нормативными документами муниципального района;</w:t>
      </w:r>
    </w:p>
    <w:p>
      <w:pPr>
        <w:pStyle w:val="Normal"/>
        <w:ind w:firstLine="540"/>
        <w:jc w:val="both"/>
        <w:rPr>
          <w:sz w:val="28"/>
          <w:szCs w:val="28"/>
        </w:rPr>
      </w:pPr>
      <w:r>
        <w:rPr>
          <w:sz w:val="28"/>
          <w:szCs w:val="28"/>
        </w:rPr>
        <w:t>2) транспортное обслуживание, обеспечиваемое в связи с исполнением должностных обязанностей, в зависимости от категории и группы замещаемой должности муниципальной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Исполнительным комитетом муниципального района;</w:t>
      </w:r>
    </w:p>
    <w:p>
      <w:pPr>
        <w:pStyle w:val="Normal"/>
        <w:ind w:firstLine="540"/>
        <w:jc w:val="both"/>
        <w:rPr>
          <w:sz w:val="28"/>
          <w:szCs w:val="28"/>
        </w:rPr>
      </w:pPr>
      <w:r>
        <w:rPr>
          <w:sz w:val="28"/>
          <w:szCs w:val="28"/>
        </w:rPr>
        <w:t>3) замещение иной должности муниципальной службы при реорганизации или ликвидации муниципального органа либо сокращении должностей муниципальной службы в соответствии с федеральным законодательством;</w:t>
      </w:r>
    </w:p>
    <w:p>
      <w:pPr>
        <w:pStyle w:val="Normal"/>
        <w:ind w:firstLine="540"/>
        <w:jc w:val="both"/>
        <w:rPr>
          <w:sz w:val="28"/>
          <w:szCs w:val="28"/>
        </w:rPr>
      </w:pPr>
      <w:r>
        <w:rPr>
          <w:sz w:val="28"/>
          <w:szCs w:val="28"/>
        </w:rPr>
        <w:t>4) медицинское обслуживание и медицинское обслуживание членов его семьи, в том числе после выхода муниципального служащего на пенсию, в порядке, устанавливаемом органом местного самоуправления.</w:t>
      </w:r>
    </w:p>
    <w:p>
      <w:pPr>
        <w:pStyle w:val="Normal"/>
        <w:ind w:firstLine="540"/>
        <w:jc w:val="both"/>
        <w:rPr>
          <w:sz w:val="28"/>
          <w:szCs w:val="28"/>
        </w:rPr>
      </w:pPr>
      <w:r>
        <w:rPr>
          <w:sz w:val="28"/>
          <w:szCs w:val="28"/>
        </w:rPr>
        <w:t>2. В случае смерти муниципального служащего его семье выплачивается единовременное пособие в размере годового денежного содержания по занимаемой им ранее должности. Порядок и условия выплаты указанного пособия устанавливаются органом местного самоуправления.</w:t>
      </w:r>
    </w:p>
    <w:p>
      <w:pPr>
        <w:pStyle w:val="Normal"/>
        <w:ind w:firstLine="540"/>
        <w:jc w:val="both"/>
        <w:rPr>
          <w:sz w:val="28"/>
          <w:szCs w:val="28"/>
        </w:rPr>
      </w:pPr>
      <w:r>
        <w:rPr>
          <w:sz w:val="28"/>
          <w:szCs w:val="28"/>
        </w:rPr>
      </w:r>
    </w:p>
    <w:p>
      <w:pPr>
        <w:pStyle w:val="Normal"/>
        <w:numPr>
          <w:ilvl w:val="0"/>
          <w:numId w:val="0"/>
        </w:numPr>
        <w:ind w:hanging="0" w:left="0"/>
        <w:jc w:val="right"/>
        <w:outlineLvl w:val="0"/>
        <w:rPr/>
      </w:pPr>
      <w:r>
        <w:rPr/>
      </w:r>
    </w:p>
    <w:p>
      <w:pPr>
        <w:pStyle w:val="Normal"/>
        <w:rPr>
          <w:sz w:val="28"/>
        </w:rPr>
      </w:pPr>
      <w:r>
        <w:rPr>
          <w:sz w:val="28"/>
        </w:rPr>
        <w:t xml:space="preserve">Глава Новобурунлдуковского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outlineLvl w:val="0"/>
        <w:rPr>
          <w:sz w:val="28"/>
          <w:szCs w:val="28"/>
        </w:rPr>
      </w:pPr>
      <w:r>
        <w:rPr>
          <w:sz w:val="28"/>
          <w:szCs w:val="28"/>
        </w:rPr>
        <w:t xml:space="preserve">                                                                                               </w:t>
      </w:r>
      <w:r>
        <w:rPr>
          <w:sz w:val="28"/>
          <w:szCs w:val="28"/>
        </w:rPr>
        <w:t>Приложение № 14</w:t>
      </w:r>
    </w:p>
    <w:p>
      <w:pPr>
        <w:pStyle w:val="Normal"/>
        <w:numPr>
          <w:ilvl w:val="0"/>
          <w:numId w:val="0"/>
        </w:numPr>
        <w:ind w:hanging="0" w:left="6237"/>
        <w:outlineLvl w:val="0"/>
        <w:rPr>
          <w:sz w:val="28"/>
          <w:szCs w:val="28"/>
        </w:rPr>
      </w:pPr>
      <w:r>
        <w:rPr>
          <w:sz w:val="28"/>
          <w:szCs w:val="28"/>
        </w:rPr>
        <w:t>Утвержден</w:t>
      </w:r>
    </w:p>
    <w:p>
      <w:pPr>
        <w:pStyle w:val="Normal"/>
        <w:numPr>
          <w:ilvl w:val="0"/>
          <w:numId w:val="0"/>
        </w:numPr>
        <w:ind w:hanging="0" w:left="6237"/>
        <w:outlineLvl w:val="0"/>
        <w:rPr>
          <w:sz w:val="28"/>
          <w:szCs w:val="28"/>
        </w:rPr>
      </w:pPr>
      <w:r>
        <w:rPr>
          <w:sz w:val="28"/>
          <w:szCs w:val="28"/>
        </w:rPr>
        <w:t xml:space="preserve">решением Совета Новобурундуковского сельского поселения Дрожжановского муниципального района Республики Татарстан </w:t>
      </w:r>
    </w:p>
    <w:p>
      <w:pPr>
        <w:pStyle w:val="Normal"/>
        <w:numPr>
          <w:ilvl w:val="0"/>
          <w:numId w:val="0"/>
        </w:numPr>
        <w:ind w:hanging="0" w:left="6237"/>
        <w:outlineLvl w:val="0"/>
        <w:rPr>
          <w:sz w:val="28"/>
          <w:szCs w:val="28"/>
        </w:rPr>
      </w:pPr>
      <w:r>
        <w:rPr>
          <w:sz w:val="28"/>
          <w:szCs w:val="28"/>
        </w:rPr>
        <w:t xml:space="preserve"> </w:t>
      </w:r>
      <w:r>
        <w:rPr>
          <w:sz w:val="28"/>
          <w:szCs w:val="28"/>
        </w:rPr>
        <w:t>от 30.03.2018 г. № 42/1</w:t>
      </w:r>
    </w:p>
    <w:p>
      <w:pPr>
        <w:pStyle w:val="Normal"/>
        <w:numPr>
          <w:ilvl w:val="0"/>
          <w:numId w:val="0"/>
        </w:numPr>
        <w:ind w:hanging="0" w:left="0"/>
        <w:jc w:val="right"/>
        <w:outlineLvl w:val="0"/>
        <w:rPr/>
      </w:pPr>
      <w:r>
        <w:rPr/>
      </w:r>
    </w:p>
    <w:p>
      <w:pPr>
        <w:pStyle w:val="ConsPlusTitle"/>
        <w:widowControl/>
        <w:jc w:val="center"/>
        <w:rPr/>
      </w:pPr>
      <w:r>
        <w:rPr/>
      </w:r>
    </w:p>
    <w:p>
      <w:pPr>
        <w:pStyle w:val="ConsPlusTitle"/>
        <w:widowControl/>
        <w:jc w:val="center"/>
        <w:rPr/>
      </w:pPr>
      <w:r>
        <w:rPr/>
      </w:r>
    </w:p>
    <w:p>
      <w:pPr>
        <w:pStyle w:val="ConsPlusTitle"/>
        <w:widowControl/>
        <w:jc w:val="center"/>
        <w:rPr/>
      </w:pPr>
      <w:r>
        <w:rPr/>
        <w:t>ПОРЯДОК</w:t>
      </w:r>
    </w:p>
    <w:p>
      <w:pPr>
        <w:pStyle w:val="ConsPlusTitle"/>
        <w:widowControl/>
        <w:jc w:val="center"/>
        <w:rPr/>
      </w:pPr>
      <w:r>
        <w:rPr/>
        <w:t xml:space="preserve">ФОРМИРОВАНИЯ ФОНДА ОПЛАТЫ ТРУДА </w:t>
      </w:r>
    </w:p>
    <w:p>
      <w:pPr>
        <w:pStyle w:val="ConsPlusTitle"/>
        <w:widowControl/>
        <w:jc w:val="center"/>
        <w:rPr/>
      </w:pPr>
      <w:r>
        <w:rPr/>
        <w:t>МУНИЦИПАЛЬНЫХ СЛУЖАЩИХ НОВОБУРУНДУКОВСКОГО СЕЛЬСКОГО ПОСЕЛЕНИЯ ДРОЖЖАНОВСКОГО МУНИЦИПАЛЬНОГО РАЙОНА РЕСПУБЛИКИ ТАТАРСТАН</w:t>
      </w:r>
    </w:p>
    <w:p>
      <w:pPr>
        <w:pStyle w:val="Normal"/>
        <w:jc w:val="center"/>
        <w:rPr/>
      </w:pPr>
      <w:r>
        <w:rPr/>
      </w:r>
    </w:p>
    <w:p>
      <w:pPr>
        <w:pStyle w:val="Normal"/>
        <w:widowControl w:val="false"/>
        <w:ind w:firstLine="540"/>
        <w:jc w:val="both"/>
        <w:rPr>
          <w:sz w:val="28"/>
          <w:szCs w:val="28"/>
        </w:rPr>
      </w:pPr>
      <w:r>
        <w:rPr>
          <w:sz w:val="28"/>
          <w:szCs w:val="28"/>
        </w:rPr>
        <w:t>При формировании фонда оплаты труда муниципальных служащих Новобурундуковского  сельского поселения Дрожжановского муниципального района, сельских поселений сверх суммы средств, направляемых для выплаты должностных окладов, предусматриваются следующие средства для выплаты (исходя из 12 должностных окладов в расчете на год):</w:t>
      </w:r>
    </w:p>
    <w:p>
      <w:pPr>
        <w:pStyle w:val="Normal"/>
        <w:widowControl w:val="false"/>
        <w:ind w:firstLine="540"/>
        <w:jc w:val="both"/>
        <w:rPr>
          <w:sz w:val="28"/>
          <w:szCs w:val="28"/>
        </w:rPr>
      </w:pPr>
      <w:r>
        <w:rPr>
          <w:sz w:val="28"/>
          <w:szCs w:val="28"/>
        </w:rPr>
        <w:t>1) ежемесячной надбавки за классный чин – в размере, не превышающем четырех процентов должностных окладов;</w:t>
      </w:r>
    </w:p>
    <w:p>
      <w:pPr>
        <w:pStyle w:val="Normal"/>
        <w:widowControl w:val="false"/>
        <w:ind w:firstLine="540"/>
        <w:jc w:val="both"/>
        <w:rPr>
          <w:sz w:val="28"/>
          <w:szCs w:val="28"/>
        </w:rPr>
      </w:pPr>
      <w:r>
        <w:rPr>
          <w:sz w:val="28"/>
          <w:szCs w:val="28"/>
        </w:rPr>
        <w:t>2) ежемесячной надбавки за выслугу лет на муниципальной службе – в размере, не превышающем тринадцати процентов должностных окладов;</w:t>
      </w:r>
    </w:p>
    <w:p>
      <w:pPr>
        <w:pStyle w:val="Normal"/>
        <w:widowControl w:val="false"/>
        <w:ind w:firstLine="540"/>
        <w:jc w:val="both"/>
        <w:rPr>
          <w:sz w:val="28"/>
          <w:szCs w:val="28"/>
        </w:rPr>
      </w:pPr>
      <w:r>
        <w:rPr>
          <w:sz w:val="28"/>
          <w:szCs w:val="28"/>
        </w:rPr>
        <w:t>3) ежемесячной надбавки за особые условия муниципальной службы (сложность, напряженность, высокие достижения в труде, специальный режим работы) – в размере, не превышающем пяти процентов должностных окладов;</w:t>
      </w:r>
    </w:p>
    <w:p>
      <w:pPr>
        <w:pStyle w:val="Normal"/>
        <w:widowControl w:val="false"/>
        <w:ind w:firstLine="540"/>
        <w:jc w:val="both"/>
        <w:rPr>
          <w:sz w:val="28"/>
          <w:szCs w:val="28"/>
        </w:rPr>
      </w:pPr>
      <w:r>
        <w:rPr>
          <w:sz w:val="28"/>
          <w:szCs w:val="28"/>
        </w:rPr>
        <w:t>4) премии за выполнение особо важных и сложных заданий – в размере, не превышающем одного процента должностных окладов;</w:t>
      </w:r>
    </w:p>
    <w:p>
      <w:pPr>
        <w:pStyle w:val="Normal"/>
        <w:widowControl w:val="false"/>
        <w:ind w:firstLine="540"/>
        <w:jc w:val="both"/>
        <w:rPr>
          <w:sz w:val="28"/>
          <w:szCs w:val="28"/>
        </w:rPr>
      </w:pPr>
      <w:r>
        <w:rPr>
          <w:sz w:val="28"/>
          <w:szCs w:val="28"/>
        </w:rPr>
        <w:t>5) единовременной выплаты при предоставлении ежегодного оплачиваемого отпуска – в размере, не превышающем десяти процентов должностных окладов;</w:t>
      </w:r>
    </w:p>
    <w:p>
      <w:pPr>
        <w:pStyle w:val="Normal"/>
        <w:widowControl w:val="false"/>
        <w:ind w:firstLine="540"/>
        <w:jc w:val="both"/>
        <w:rPr>
          <w:sz w:val="28"/>
          <w:szCs w:val="28"/>
        </w:rPr>
      </w:pPr>
      <w:r>
        <w:rPr>
          <w:sz w:val="28"/>
          <w:szCs w:val="28"/>
        </w:rPr>
        <w:t>6) ежемесячного денежного поощрения – в размере, не превышающем одного процента должностных окладов.</w:t>
      </w:r>
    </w:p>
    <w:p>
      <w:pPr>
        <w:pStyle w:val="Normal"/>
        <w:numPr>
          <w:ilvl w:val="0"/>
          <w:numId w:val="0"/>
        </w:numPr>
        <w:ind w:hanging="0" w:left="0"/>
        <w:outlineLvl w:val="0"/>
        <w:rPr>
          <w:sz w:val="28"/>
          <w:szCs w:val="28"/>
        </w:rPr>
      </w:pPr>
      <w:r>
        <w:rPr>
          <w:sz w:val="28"/>
          <w:szCs w:val="28"/>
        </w:rPr>
      </w:r>
    </w:p>
    <w:p>
      <w:pPr>
        <w:pStyle w:val="Normal"/>
        <w:numPr>
          <w:ilvl w:val="0"/>
          <w:numId w:val="0"/>
        </w:numPr>
        <w:ind w:hanging="0" w:left="0"/>
        <w:outlineLvl w:val="0"/>
        <w:rPr>
          <w:sz w:val="28"/>
          <w:szCs w:val="28"/>
        </w:rPr>
      </w:pPr>
      <w:r>
        <w:rPr>
          <w:sz w:val="28"/>
          <w:szCs w:val="28"/>
        </w:rPr>
      </w:r>
    </w:p>
    <w:p>
      <w:pPr>
        <w:pStyle w:val="Normal"/>
        <w:rPr>
          <w:sz w:val="28"/>
        </w:rPr>
      </w:pPr>
      <w:r>
        <w:rPr>
          <w:sz w:val="28"/>
        </w:rPr>
        <w:t xml:space="preserve">Глава Новобурундуковского сельского поселения </w:t>
      </w:r>
    </w:p>
    <w:p>
      <w:pPr>
        <w:pStyle w:val="Normal"/>
        <w:rPr>
          <w:sz w:val="28"/>
        </w:rPr>
      </w:pPr>
      <w:r>
        <w:rPr>
          <w:sz w:val="28"/>
        </w:rPr>
        <w:t xml:space="preserve">Дрожжановского муниципального района </w:t>
      </w:r>
    </w:p>
    <w:p>
      <w:pPr>
        <w:pStyle w:val="Normal"/>
        <w:rPr>
          <w:sz w:val="28"/>
        </w:rPr>
      </w:pPr>
      <w:r>
        <w:rPr>
          <w:sz w:val="28"/>
        </w:rPr>
        <w:t>Республики  Татарстан:</w:t>
        <w:tab/>
        <w:tab/>
        <w:tab/>
        <w:tab/>
        <w:tab/>
        <w:tab/>
        <w:t>В.Г.Ранцев</w:t>
      </w:r>
    </w:p>
    <w:p>
      <w:pPr>
        <w:pStyle w:val="Normal"/>
        <w:numPr>
          <w:ilvl w:val="0"/>
          <w:numId w:val="0"/>
        </w:numPr>
        <w:ind w:hanging="0" w:left="0"/>
        <w:outlineLvl w:val="0"/>
        <w:rPr/>
      </w:pPr>
      <w:r>
        <w:rPr/>
      </w:r>
    </w:p>
    <w:sectPr>
      <w:type w:val="nextPage"/>
      <w:pgSz w:w="11906" w:h="16838"/>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swiss"/>
    <w:pitch w:val="default"/>
  </w:font>
  <w:font w:name="Segoe UI">
    <w:charset w:val="01"/>
    <w:family w:val="swiss"/>
    <w:pitch w:val="default"/>
  </w:font>
  <w:font w:name="PT Astra Serif">
    <w:charset w:val="01"/>
    <w:family w:val="roman"/>
    <w:pitch w:val="default"/>
  </w:font>
  <w:font w:name="Calibri">
    <w:charset w:val="01"/>
    <w:family w:val="swiss"/>
    <w:pitch w:val="default"/>
  </w:font>
  <w:font w:name="Nimbus Roman">
    <w:charset w:val="01"/>
    <w:family w:val="auto"/>
    <w:pitch w:val="default"/>
  </w:font>
  <w:font w:name="Nimbus Roman">
    <w:charset w:val="01"/>
    <w:family w:val="roman"/>
    <w:pitch w:val="default"/>
  </w:font>
</w:fonts>
</file>

<file path=word/settings.xml><?xml version="1.0" encoding="utf-8"?>
<w:settings xmlns:w="http://schemas.openxmlformats.org/wordprocessingml/2006/main">
  <w:zoom w:percent="75"/>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24afe"/>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uiPriority w:val="99"/>
    <w:qFormat/>
    <w:rsid w:val="0051063f"/>
    <w:pPr>
      <w:widowControl w:val="false"/>
      <w:spacing w:before="108" w:after="108"/>
      <w:jc w:val="center"/>
      <w:outlineLvl w:val="0"/>
    </w:pPr>
    <w:rPr>
      <w:rFonts w:ascii="Arial" w:hAnsi="Arial" w:eastAsia="" w:cs="Arial" w:eastAsiaTheme="minorEastAsia"/>
      <w:b/>
      <w:bCs/>
      <w:color w:val="26282F"/>
    </w:rPr>
  </w:style>
  <w:style w:type="character" w:styleId="DefaultParagraphFont" w:default="1">
    <w:name w:val="Default Paragraph Font"/>
    <w:uiPriority w:val="1"/>
    <w:semiHidden/>
    <w:unhideWhenUsed/>
    <w:qFormat/>
    <w:rPr/>
  </w:style>
  <w:style w:type="character" w:styleId="Hyperlink">
    <w:name w:val="Hyperlink"/>
    <w:rsid w:val="00446b54"/>
    <w:rPr>
      <w:color w:val="0000FF"/>
      <w:u w:val="single"/>
    </w:rPr>
  </w:style>
  <w:style w:type="character" w:styleId="Style13" w:customStyle="1">
    <w:name w:val="Текст выноски Знак"/>
    <w:basedOn w:val="DefaultParagraphFont"/>
    <w:link w:val="BalloonText"/>
    <w:semiHidden/>
    <w:qFormat/>
    <w:rsid w:val="001a20b9"/>
    <w:rPr>
      <w:rFonts w:ascii="Segoe UI" w:hAnsi="Segoe UI" w:cs="Segoe UI"/>
      <w:sz w:val="18"/>
      <w:szCs w:val="18"/>
    </w:rPr>
  </w:style>
  <w:style w:type="character" w:styleId="1" w:customStyle="1">
    <w:name w:val="Заголовок 1 Знак"/>
    <w:basedOn w:val="DefaultParagraphFont"/>
    <w:uiPriority w:val="99"/>
    <w:qFormat/>
    <w:rsid w:val="0051063f"/>
    <w:rPr>
      <w:rFonts w:ascii="Arial" w:hAnsi="Arial" w:eastAsia="" w:cs="Arial" w:eastAsiaTheme="minorEastAsia"/>
      <w:b/>
      <w:bCs/>
      <w:color w:val="26282F"/>
      <w:sz w:val="24"/>
      <w:szCs w:val="24"/>
    </w:rPr>
  </w:style>
  <w:style w:type="paragraph" w:styleId="Style14">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5">
    <w:name w:val="Указатель"/>
    <w:basedOn w:val="Normal"/>
    <w:qFormat/>
    <w:pPr>
      <w:suppressLineNumbers/>
    </w:pPr>
    <w:rPr>
      <w:rFonts w:ascii="PT Astra Serif" w:hAnsi="PT Astra Serif" w:cs="Noto Sans Devanagari"/>
    </w:rPr>
  </w:style>
  <w:style w:type="paragraph" w:styleId="ConsPlusTitle" w:customStyle="1">
    <w:name w:val="ConsPlusTitle"/>
    <w:qFormat/>
    <w:rsid w:val="00446b54"/>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ConsPlusCell" w:customStyle="1">
    <w:name w:val="ConsPlusCell"/>
    <w:qFormat/>
    <w:rsid w:val="00446b54"/>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ConsNormal" w:customStyle="1">
    <w:name w:val="ConsNormal"/>
    <w:qFormat/>
    <w:rsid w:val="00446b54"/>
    <w:pPr>
      <w:widowControl/>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11" w:customStyle="1">
    <w:name w:val="Абзац списка1"/>
    <w:basedOn w:val="Normal"/>
    <w:qFormat/>
    <w:rsid w:val="0020600e"/>
    <w:pPr>
      <w:spacing w:lineRule="auto" w:line="288" w:before="0" w:after="0"/>
      <w:ind w:left="720"/>
      <w:contextualSpacing/>
    </w:pPr>
    <w:rPr>
      <w:sz w:val="28"/>
      <w:szCs w:val="20"/>
    </w:rPr>
  </w:style>
  <w:style w:type="paragraph" w:styleId="ConsPlusNormal" w:customStyle="1">
    <w:name w:val="ConsPlusNormal"/>
    <w:qFormat/>
    <w:rsid w:val="0020600e"/>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Spacing">
    <w:name w:val="No Spacing"/>
    <w:uiPriority w:val="1"/>
    <w:qFormat/>
    <w:rsid w:val="00a16f79"/>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BalloonText">
    <w:name w:val="Balloon Text"/>
    <w:basedOn w:val="Normal"/>
    <w:link w:val="Style13"/>
    <w:semiHidden/>
    <w:unhideWhenUsed/>
    <w:qFormat/>
    <w:rsid w:val="001a20b9"/>
    <w:pPr/>
    <w:rPr>
      <w:rFonts w:ascii="Segoe UI" w:hAnsi="Segoe UI" w:cs="Segoe UI"/>
      <w:sz w:val="18"/>
      <w:szCs w:val="18"/>
    </w:rPr>
  </w:style>
  <w:style w:type="paragraph" w:styleId="Style16">
    <w:name w:val="Содержимое врезки"/>
    <w:basedOn w:val="Normal"/>
    <w:qFormat/>
    <w:pPr/>
    <w:rPr/>
  </w:style>
  <w:style w:type="paragraph" w:styleId="BodyTextFirstIndent">
    <w:name w:val="Body Text First Indent"/>
    <w:basedOn w:val="Normal"/>
    <w:pPr>
      <w:ind w:firstLine="709" w:left="0" w:right="0"/>
      <w:jc w:val="both"/>
    </w:pPr>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F4D7B-3A8F-4254-9997-27FA2A82E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Application>LibreOffice/24.8.4.2$Linux_X86_64 LibreOffice_project/480$Build-2</Application>
  <AppVersion>15.0000</AppVersion>
  <Pages>17</Pages>
  <Words>2781</Words>
  <Characters>21171</Characters>
  <CharactersWithSpaces>28840</CharactersWithSpaces>
  <Paragraphs>284</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2018-04-26T07:36:00Z</dcterms:created>
  <dc:creator>салават</dc:creator>
  <dc:description/>
  <dc:language>ru-RU</dc:language>
  <cp:lastModifiedBy/>
  <cp:lastPrinted>2018-05-03T05:42:00Z</cp:lastPrinted>
  <dcterms:modified xsi:type="dcterms:W3CDTF">2026-06-15T14:36:24Z</dcterms:modified>
  <cp:revision>27</cp:revision>
  <dc:subject/>
  <dc:title>ПРОЕКТ</dc:title>
</cp:coreProperties>
</file>

<file path=docProps/custom.xml><?xml version="1.0" encoding="utf-8"?>
<Properties xmlns="http://schemas.openxmlformats.org/officeDocument/2006/custom-properties" xmlns:vt="http://schemas.openxmlformats.org/officeDocument/2006/docPropsVTypes"/>
</file>