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4"/>
        <w:gridCol w:w="562"/>
        <w:gridCol w:w="4707"/>
      </w:tblGrid>
      <w:tr>
        <w:trPr>
          <w:trHeight w:val="1706" w:hRule="atLeast"/>
        </w:trPr>
        <w:tc>
          <w:tcPr>
            <w:tcW w:w="5044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 w:right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 w:right="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 w:right="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before="0" w:after="60"/>
              <w:ind w:hanging="0" w:left="0" w:right="0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РЕСПУБЛИКИ ТАТАРСТАН</w:t>
            </w:r>
          </w:p>
        </w:tc>
        <w:tc>
          <w:tcPr>
            <w:tcW w:w="562" w:type="dxa"/>
            <w:tcBorders/>
          </w:tcPr>
          <w:p>
            <w:pPr>
              <w:pStyle w:val="Normal"/>
              <w:widowControl w:val="false"/>
              <w:snapToGrid w:val="false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4707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32" w:leader="none"/>
                <w:tab w:val="left" w:pos="2160" w:leader="none"/>
              </w:tabs>
              <w:spacing w:before="0" w:after="60"/>
              <w:ind w:hanging="0" w:left="0" w:right="-108"/>
              <w:jc w:val="center"/>
              <w:outlineLvl w:val="1"/>
              <w:rPr/>
            </w:pPr>
            <w:r>
              <w:rPr>
                <w:rFonts w:eastAsia="Times New Roman"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Cs w:val="24"/>
              </w:rPr>
              <w:t>ЧҮПРӘЛЕ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60"/>
              <w:ind w:hanging="0" w:left="0" w:right="-108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before="0" w:after="60"/>
              <w:ind w:right="-108"/>
              <w:jc w:val="center"/>
              <w:rPr/>
            </w:pPr>
            <w:r>
              <w:rPr>
                <w:rFonts w:eastAsia="Times New Roman" w:cs="Times New Roman" w:ascii="Times New Roman" w:hAnsi="Times New Roman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aps/>
                <w:color w:val="000000"/>
                <w:szCs w:val="24"/>
                <w:lang w:val="tt-RU" w:eastAsia="ru-RU"/>
              </w:rPr>
              <w:t>Я</w:t>
            </w:r>
            <w:r>
              <w:rPr>
                <w:rFonts w:cs="Times New Roman" w:ascii="Times New Roman" w:hAnsi="Times New Roman"/>
                <w:szCs w:val="24"/>
                <w:lang w:val="tt-RU"/>
              </w:rPr>
              <w:t>ҢА БОРЫНДЫК АВЫЛ ҖИРЛЕГЕ</w:t>
            </w:r>
            <w:r>
              <w:rPr>
                <w:rFonts w:cs="Times New Roman" w:ascii="Times New Roman" w:hAnsi="Times New Roman"/>
                <w:szCs w:val="24"/>
              </w:rPr>
              <w:t xml:space="preserve"> БАШЛЫГЫ</w:t>
            </w:r>
          </w:p>
        </w:tc>
      </w:tr>
      <w:tr>
        <w:trPr>
          <w:trHeight w:val="338" w:hRule="atLeast"/>
        </w:trPr>
        <w:tc>
          <w:tcPr>
            <w:tcW w:w="10313" w:type="dxa"/>
            <w:gridSpan w:val="3"/>
            <w:tcBorders/>
          </w:tcPr>
          <w:p>
            <w:pPr>
              <w:pStyle w:val="Normal"/>
              <w:widowControl w:val="false"/>
              <w:spacing w:before="0" w:after="60"/>
              <w:ind w:right="-108"/>
              <w:jc w:val="center"/>
              <w:rPr>
                <w:szCs w:val="24"/>
                <w:lang w:val="tt-RU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jc w:val="both"/>
        <w:rPr/>
      </w:pPr>
      <w:r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ПОСТАНОВЛЕНИЕ                                                     </w:t>
        <w:tab/>
        <w:tab/>
        <w:t xml:space="preserve">     КАРАР</w:t>
      </w:r>
    </w:p>
    <w:p>
      <w:pPr>
        <w:pStyle w:val="Normal"/>
        <w:widowControl w:val="false"/>
        <w:spacing w:before="0" w:after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ind w:right="-1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13.04.2026                                                                                </w:t>
        <w:tab/>
        <w:tab/>
        <w:t xml:space="preserve">№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</w:t>
      </w:r>
    </w:p>
    <w:p>
      <w:pPr>
        <w:pStyle w:val="Normal"/>
        <w:ind w:right="-1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оповещения населения  </w:t>
      </w:r>
      <w:r>
        <w:rPr>
          <w:rFonts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Новобурундуковского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подразделений Государственной противопожарной службы о пожаре </w:t>
      </w:r>
    </w:p>
    <w:p>
      <w:pPr>
        <w:pStyle w:val="Normal"/>
        <w:spacing w:before="0" w:after="0"/>
        <w:ind w:right="-1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ind w:right="-1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ab/>
        <w:t xml:space="preserve">В соответствии с Федеральным законом от 21 декабря 1994 г. № 69-ФЗ «О пожарной безопасности»,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22 июля 2008 г. № 123-ФЗ «Технический регламент о требованиях пожарной безопасности», постановлением Правительства Российской Федерации от 16 сентября 2020 г. № 1479 «Об утверждении Правил противопожарного режима в Российской Федерации» и Уставом Новобурундуковского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 xml:space="preserve">сельского поселения Дрожжановского муниципального района Республики Татарстан Исполнительный комитет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Новобурундуковского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 xml:space="preserve">сельского поселения Дрожжановского муниципального района ПОСТАНОВЛЯЕТ: </w:t>
      </w:r>
    </w:p>
    <w:p>
      <w:pPr>
        <w:pStyle w:val="Normal"/>
        <w:spacing w:before="0" w:after="0"/>
        <w:ind w:right="-1"/>
        <w:jc w:val="both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ab/>
        <w:t xml:space="preserve">1. </w:t>
      </w:r>
      <w:r>
        <w:rPr>
          <w:rFonts w:cs="Times New Roman" w:ascii="Times New Roman" w:hAnsi="Times New Roman"/>
          <w:b w:val="false"/>
          <w:bCs w:val="false"/>
          <w:sz w:val="27"/>
          <w:szCs w:val="28"/>
          <w:lang w:eastAsia="ru-RU"/>
        </w:rPr>
        <w:t>Утвердить прилагаемый Порядок оповещения населения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Новобурундуковского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 xml:space="preserve">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b w:val="false"/>
          <w:bCs w:val="false"/>
          <w:sz w:val="27"/>
          <w:szCs w:val="28"/>
          <w:lang w:eastAsia="ru-RU"/>
        </w:rPr>
        <w:t>и подразделений Государственной противопожарной службы о пожаре.</w:t>
      </w:r>
    </w:p>
    <w:p>
      <w:pPr>
        <w:pStyle w:val="Normal"/>
        <w:spacing w:before="0" w:after="0"/>
        <w:ind w:right="-1"/>
        <w:jc w:val="both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ab/>
        <w:t xml:space="preserve">2. </w:t>
      </w:r>
      <w:r>
        <w:rPr>
          <w:rFonts w:cs="Times New Roman" w:ascii="Times New Roman" w:hAnsi="Times New Roman"/>
          <w:b w:val="false"/>
          <w:bCs w:val="false"/>
          <w:sz w:val="27"/>
          <w:szCs w:val="28"/>
          <w:lang w:eastAsia="ru-RU"/>
        </w:rPr>
        <w:t xml:space="preserve">Для оповещения населения и подразделений Государственной противопожарной службы о пожаре обеспечить населенный пункт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Новобурундуковского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>сельского поселения Дрожжановского муниципального района</w:t>
      </w:r>
      <w:r>
        <w:rPr>
          <w:rFonts w:cs="Times New Roman" w:ascii="Times New Roman" w:hAnsi="Times New Roman"/>
          <w:b w:val="false"/>
          <w:bCs w:val="false"/>
          <w:sz w:val="27"/>
          <w:szCs w:val="28"/>
          <w:lang w:eastAsia="ru-RU"/>
        </w:rPr>
        <w:t xml:space="preserve">  общедоступными средствами связи.</w:t>
      </w:r>
    </w:p>
    <w:p>
      <w:pPr>
        <w:pStyle w:val="Normal"/>
        <w:spacing w:before="0" w:after="0"/>
        <w:ind w:right="-1"/>
        <w:jc w:val="both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ab/>
        <w:t xml:space="preserve">3. </w:t>
      </w:r>
      <w:r>
        <w:rPr>
          <w:rFonts w:cs="Times New Roman" w:ascii="Times New Roman" w:hAnsi="Times New Roman"/>
          <w:b w:val="false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>
      <w:pPr>
        <w:pStyle w:val="Normal"/>
        <w:spacing w:before="0" w:after="0"/>
        <w:ind w:right="-1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  <w:lang w:eastAsia="ru-RU"/>
        </w:rPr>
        <w:tab/>
        <w:t>4.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lang w:eastAsia="ru-RU"/>
        </w:rPr>
        <w:t xml:space="preserve"> Контроль за исполнением н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астоящего постановления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Глава Новобурундуковского 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</w:t>
        <w:tab/>
        <w:tab/>
        <w:tab/>
        <w:t xml:space="preserve">     В.Г. Ранцев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572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постановлением Исполнительного комитета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5726" w:right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ru-RU"/>
        </w:rPr>
        <w:t>Новобурундуковского сельского поселения Дрожжановского муниципального района Республики Татарстан от 13.04.2026 № 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5726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keepNext w:val="true"/>
        <w:keepLines/>
        <w:shd w:val="clear" w:color="auto" w:fill="auto"/>
        <w:spacing w:lineRule="auto" w:line="240"/>
        <w:jc w:val="center"/>
        <w:rPr>
          <w:b/>
          <w:sz w:val="28"/>
          <w:szCs w:val="28"/>
          <w:lang w:eastAsia="zh-CN"/>
        </w:rPr>
      </w:pPr>
      <w:bookmarkStart w:id="0" w:name="bookmark1"/>
      <w:r>
        <w:rPr>
          <w:b/>
          <w:sz w:val="28"/>
          <w:szCs w:val="28"/>
          <w:lang w:eastAsia="zh-CN"/>
        </w:rPr>
        <w:t>Порядок</w:t>
      </w:r>
      <w:bookmarkStart w:id="1" w:name="bookmark2"/>
      <w:bookmarkEnd w:id="0"/>
    </w:p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оповещения населения</w:t>
      </w:r>
      <w:r>
        <w:rPr>
          <w:rFonts w:cs="Times New Roman" w:ascii="Times New Roman" w:hAnsi="Times New Roman"/>
          <w:b/>
          <w:bCs/>
          <w:sz w:val="28"/>
          <w:szCs w:val="28"/>
          <w:lang w:val="ru-RU" w:eastAsia="zh-CN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ru-RU" w:eastAsia="ru-RU"/>
        </w:rPr>
        <w:t xml:space="preserve">Новобурундуковского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 xml:space="preserve">и подразделений Государственной противопожарной службы о пожаре </w:t>
      </w:r>
      <w:bookmarkEnd w:id="1"/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 Порядок разработан в соответствии с Федеральным законом от 21 декабря 1994 г. № 69-ФЗ «О пожарной безопасности», Федеральным законом от 22 июля 2008 г. № 123-ФЗ «Технический регламент о тре</w:t>
      </w:r>
      <w:bookmarkStart w:id="2" w:name="sub_12"/>
      <w:r>
        <w:rPr>
          <w:rFonts w:ascii="Times New Roman" w:hAnsi="Times New Roman"/>
          <w:sz w:val="28"/>
          <w:szCs w:val="28"/>
        </w:rPr>
        <w:t xml:space="preserve">бованиях пожарной безопасности», постановлением Правительства Российской Федерации от 16 сентября 2020 г. № 1479 «Об утверждении Правил противопожарного режима в Российской Федерации».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Новобурундуковского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 xml:space="preserve">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(далее – население) и подразделений Государственной противопожарной службы </w:t>
      </w:r>
      <w:bookmarkEnd w:id="2"/>
      <w:r>
        <w:rPr>
          <w:rFonts w:ascii="Times New Roman" w:hAnsi="Times New Roman"/>
          <w:sz w:val="28"/>
          <w:szCs w:val="28"/>
        </w:rPr>
        <w:t>(далее – подразделения ГПС) о пожаре или угрозе возникновения пожара.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Меры по организации своевременного оповещения населения и подразделений ГПС о пожаре или угрозе возникновения пожара осуществляются  главой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Новобурундуковского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>сельского поселения Дрожжановского муниципального района Республики Татарстан.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Оповещение подразделений ГПС 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   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Практическая отработка оповещения населения и подразделений ГПС о пожаре проводится Исполнительным комитетом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Новобурундуковского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lang w:eastAsia="ru-RU"/>
        </w:rPr>
        <w:t xml:space="preserve">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(далее – исполнительный комитет) один раз в квартал.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2. Организация оповещения населения о пожаре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При поступлении информации о возникновении пожара администрация оповещает население и подразделения ГПС о пожаре.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Сигнал оповещения «Пожар!» –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2.3. Сигнал </w:t>
      </w:r>
      <w:r>
        <w:rPr>
          <w:rFonts w:ascii="Times New Roman" w:hAnsi="Times New Roman"/>
          <w:sz w:val="28"/>
          <w:szCs w:val="28"/>
        </w:rPr>
        <w:t>оповещения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«Пожар!» подается при возникновении пожара в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Новобурундуковском </w:t>
      </w:r>
      <w:r>
        <w:rPr>
          <w:rFonts w:cs="Times New Roman" w:ascii="Times New Roman" w:hAnsi="Times New Roman"/>
          <w:b w:val="false"/>
          <w:bCs w:val="false"/>
          <w:color w:val="000000"/>
          <w:sz w:val="27"/>
          <w:szCs w:val="27"/>
          <w:lang w:eastAsia="ru-RU"/>
        </w:rPr>
        <w:t>сельском поселении Дрожжановского муниципального района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а также в лесном массиве, примыкающем к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ru-RU"/>
        </w:rPr>
        <w:t xml:space="preserve">Новобурундуковскому </w:t>
      </w:r>
      <w:r>
        <w:rPr>
          <w:rFonts w:cs="Times New Roman" w:ascii="Times New Roman" w:hAnsi="Times New Roman"/>
          <w:b w:val="false"/>
          <w:bCs w:val="false"/>
          <w:color w:val="000000"/>
          <w:sz w:val="27"/>
          <w:szCs w:val="27"/>
          <w:shd w:fill="auto" w:val="clear"/>
          <w:lang w:eastAsia="ru-RU"/>
        </w:rPr>
        <w:t>сельскому поселению Дрожжановского муниципального района Республики Татарстан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. 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Оповещение населения о пожаре осуществляется: 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посредством автоматизированной системы централизованного оповещения населения;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средствами звуковой сигнализации: электросиренами, ручными сиренами и другими вспомогательными техническими средствами оповещения, в том числе, при помощи колоколов, рынд, закрепленных рельсов и т.п.;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сетям (каналам) радио, телевизионного и (или) проводного вещания (местный радиоузел), телефонной проводной и (или) сотовой связи;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сетям наружной (уличной) звукофикации;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группами оповещения (дежурными администрации) – подворовым обходом домовладений и (или) объездом на транспортных средствах с использованием громкоговорителей, электромегафонов;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любыми иными техническими средствами, позволяющими оповестить население о пожаре. 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путем подачи в течение двух-трех минут соответствующего звукового сигнала</w:t>
      </w:r>
      <w:r>
        <w:rPr>
          <w:rFonts w:ascii="Times New Roman" w:hAnsi="Times New Roman"/>
          <w:sz w:val="28"/>
          <w:szCs w:val="28"/>
        </w:rPr>
        <w:t>, что означает «Внимание всем! Пожар!».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(местный радиоузел), телефонной проводной и (или) сотовой связи, сети наружной (уличной) звукофикации, громкоговорителей, электромегафонов, а также путем проведения собраний населения.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оповещения населения о пожаре с использованием средств звуковой сигнализации д</w:t>
      </w:r>
      <w:r>
        <w:rPr>
          <w:rFonts w:ascii="Times New Roman" w:hAnsi="Times New Roman"/>
          <w:color w:val="000000"/>
          <w:sz w:val="28"/>
          <w:szCs w:val="28"/>
        </w:rPr>
        <w:t>опускается повторение речевого сообщения.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Решение об оповещении населения о пожаре принимает глава администрации </w:t>
      </w:r>
      <w:r>
        <w:rPr>
          <w:rFonts w:ascii="Times New Roman" w:hAnsi="Times New Roman"/>
          <w:sz w:val="28"/>
          <w:szCs w:val="28"/>
        </w:rPr>
        <w:t>или лицо, его замещающее</w:t>
      </w:r>
      <w:r>
        <w:rPr>
          <w:rFonts w:ascii="Times New Roman" w:hAnsi="Times New Roman"/>
          <w:color w:val="000000"/>
          <w:sz w:val="28"/>
          <w:szCs w:val="28"/>
        </w:rPr>
        <w:t xml:space="preserve"> либо лицо, уполномоченное главой администрацией </w:t>
      </w:r>
      <w:r>
        <w:rPr>
          <w:rFonts w:ascii="Times New Roman" w:hAnsi="Times New Roman"/>
          <w:sz w:val="28"/>
          <w:szCs w:val="28"/>
        </w:rPr>
        <w:t>в сфере обеспечения пожарной безопасности.</w:t>
      </w:r>
    </w:p>
    <w:p>
      <w:pPr>
        <w:pStyle w:val="Normal"/>
        <w:widowControl w:val="false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144" w:right="850" w:gutter="0" w:header="0" w:top="788" w:footer="0" w:bottom="114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WW8Num2z1">
    <w:name w:val="WW8Num2z1"/>
    <w:qFormat/>
    <w:rPr>
      <w:rFonts w:ascii="Symbol" w:hAnsi="Symbol" w:cs="Symbol"/>
      <w:lang w:val="ru-RU" w:eastAsia="en-US" w:bidi="ar-S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BodyTextIndent3">
    <w:name w:val="Body Text Indent 3"/>
    <w:basedOn w:val="Normal"/>
    <w:qFormat/>
    <w:pPr>
      <w:suppressAutoHyphens w:val="true"/>
      <w:spacing w:before="0" w:after="120"/>
      <w:ind w:left="283"/>
    </w:pPr>
    <w:rPr>
      <w:sz w:val="16"/>
      <w:szCs w:val="16"/>
      <w:lang w:eastAsia="ar-SA"/>
    </w:rPr>
  </w:style>
  <w:style w:type="paragraph" w:styleId="1">
    <w:name w:val="Заголовок №1"/>
    <w:basedOn w:val="Normal"/>
    <w:qFormat/>
    <w:pPr>
      <w:shd w:val="clear" w:color="auto" w:fill="FFFFFF"/>
      <w:spacing w:lineRule="exact" w:line="269"/>
      <w:jc w:val="right"/>
      <w:outlineLvl w:val="0"/>
    </w:pPr>
    <w:rPr>
      <w:sz w:val="22"/>
      <w:shd w:fill="FFFFFF" w:val="clear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LibreOffice/24.8.4.2$Linux_X86_64 LibreOffice_project/480$Build-2</Application>
  <AppVersion>15.0000</AppVersion>
  <Pages>4</Pages>
  <Words>749</Words>
  <Characters>5817</Characters>
  <CharactersWithSpaces>6749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2026-05-29T09:54:47Z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