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
    </w:p>
    <w:tbl>
      <w:tblPr>
        <w:tblW w:w="10313" w:type="dxa"/>
        <w:jc w:val="left"/>
        <w:tblInd w:w="-426" w:type="dxa"/>
        <w:tblLayout w:type="fixed"/>
        <w:tblCellMar>
          <w:top w:w="0" w:type="dxa"/>
          <w:left w:w="108" w:type="dxa"/>
          <w:bottom w:w="0" w:type="dxa"/>
          <w:right w:w="108" w:type="dxa"/>
        </w:tblCellMar>
      </w:tblPr>
      <w:tblGrid>
        <w:gridCol w:w="5044"/>
        <w:gridCol w:w="562"/>
        <w:gridCol w:w="4707"/>
      </w:tblGrid>
      <w:tr>
        <w:trPr>
          <w:trHeight w:val="2127" w:hRule="atLeast"/>
        </w:trPr>
        <w:tc>
          <w:tcPr>
            <w:tcW w:w="5044" w:type="dxa"/>
            <w:tcBorders/>
          </w:tcPr>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rPr>
            </w:pPr>
            <w:r>
              <w:rPr>
                <w:rFonts w:cs="Times New Roman" w:ascii="Times New Roman" w:hAnsi="Times New Roman"/>
              </w:rPr>
              <w:t>ИСПОЛНИТЕЛЬНЫЙ КОМИТЕТ</w:t>
            </w:r>
          </w:p>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szCs w:val="24"/>
              </w:rPr>
            </w:pPr>
            <w:r>
              <w:rPr>
                <w:rFonts w:cs="Times New Roman" w:ascii="Times New Roman" w:hAnsi="Times New Roman"/>
                <w:szCs w:val="24"/>
              </w:rPr>
              <w:t>НОВОБУРУНДУКОВСКОГО СЕЛЬСКОГО ПОСЕЛЕНИЯ ДРОЖЖАНОВСКОГО</w:t>
            </w:r>
          </w:p>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szCs w:val="24"/>
              </w:rPr>
            </w:pPr>
            <w:r>
              <w:rPr>
                <w:rFonts w:cs="Times New Roman" w:ascii="Times New Roman" w:hAnsi="Times New Roman"/>
                <w:szCs w:val="24"/>
              </w:rPr>
              <w:t>МУНИЦИПАЛЬНОГО РАЙОНА</w:t>
            </w:r>
          </w:p>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szCs w:val="24"/>
              </w:rPr>
            </w:pPr>
            <w:r>
              <w:rPr>
                <w:rFonts w:cs="Times New Roman" w:ascii="Times New Roman" w:hAnsi="Times New Roman"/>
                <w:szCs w:val="24"/>
              </w:rPr>
              <w:t>РЕСПУБЛИКИ ТАТАРСТАН</w:t>
            </w:r>
          </w:p>
        </w:tc>
        <w:tc>
          <w:tcPr>
            <w:tcW w:w="562" w:type="dxa"/>
            <w:tcBorders/>
          </w:tcPr>
          <w:p>
            <w:pPr>
              <w:pStyle w:val="Normal"/>
              <w:widowControl w:val="false"/>
              <w:snapToGrid w:val="false"/>
              <w:ind w:right="-108"/>
              <w:jc w:val="center"/>
              <w:rPr>
                <w:rFonts w:ascii="Times New Roman" w:hAnsi="Times New Roman" w:cs="Times New Roman"/>
                <w:szCs w:val="24"/>
              </w:rPr>
            </w:pPr>
            <w:r>
              <w:rPr>
                <w:rFonts w:cs="Times New Roman" w:ascii="Times New Roman" w:hAnsi="Times New Roman"/>
                <w:szCs w:val="24"/>
              </w:rPr>
            </w:r>
          </w:p>
          <w:p>
            <w:pPr>
              <w:pStyle w:val="Normal"/>
              <w:widowControl w:val="false"/>
              <w:spacing w:before="0" w:after="160"/>
              <w:jc w:val="center"/>
              <w:rPr>
                <w:rFonts w:ascii="Times New Roman" w:hAnsi="Times New Roman" w:cs="Times New Roman"/>
                <w:color w:val="000000"/>
                <w:szCs w:val="24"/>
              </w:rPr>
            </w:pPr>
            <w:r>
              <w:rPr>
                <w:rFonts w:cs="Times New Roman" w:ascii="Times New Roman" w:hAnsi="Times New Roman"/>
                <w:color w:val="000000"/>
                <w:szCs w:val="24"/>
              </w:rPr>
            </w:r>
          </w:p>
        </w:tc>
        <w:tc>
          <w:tcPr>
            <w:tcW w:w="4707" w:type="dxa"/>
            <w:tcBorders/>
          </w:tcPr>
          <w:p>
            <w:pPr>
              <w:pStyle w:val="Normal"/>
              <w:keepNext w:val="true"/>
              <w:widowControl w:val="false"/>
              <w:numPr>
                <w:ilvl w:val="0"/>
                <w:numId w:val="0"/>
              </w:numPr>
              <w:spacing w:before="0" w:after="60"/>
              <w:ind w:hanging="0" w:left="0" w:right="-108"/>
              <w:jc w:val="center"/>
              <w:outlineLvl w:val="1"/>
              <w:rPr>
                <w:rFonts w:ascii="Times New Roman" w:hAnsi="Times New Roman" w:cs="Times New Roman"/>
                <w:szCs w:val="24"/>
              </w:rPr>
            </w:pPr>
            <w:r>
              <w:rPr>
                <w:rFonts w:cs="Times New Roman" w:ascii="Times New Roman" w:hAnsi="Times New Roman"/>
                <w:szCs w:val="24"/>
              </w:rPr>
              <w:t>ТАТАРСТАН РЕСПУБЛИКАСЫ</w:t>
            </w:r>
          </w:p>
          <w:p>
            <w:pPr>
              <w:pStyle w:val="Normal"/>
              <w:keepNext w:val="true"/>
              <w:widowControl w:val="false"/>
              <w:numPr>
                <w:ilvl w:val="0"/>
                <w:numId w:val="0"/>
              </w:numPr>
              <w:tabs>
                <w:tab w:val="clear" w:pos="708"/>
                <w:tab w:val="left" w:pos="2032" w:leader="none"/>
                <w:tab w:val="left" w:pos="2160" w:leader="none"/>
              </w:tabs>
              <w:spacing w:before="0" w:after="60"/>
              <w:ind w:hanging="0" w:left="0" w:right="-108"/>
              <w:jc w:val="center"/>
              <w:outlineLvl w:val="1"/>
              <w:rPr/>
            </w:pPr>
            <w:r>
              <w:rPr>
                <w:rFonts w:eastAsia="Times New Roman" w:cs="Times New Roman" w:ascii="Times New Roman" w:hAnsi="Times New Roman"/>
                <w:szCs w:val="24"/>
              </w:rPr>
              <w:t xml:space="preserve"> </w:t>
            </w:r>
            <w:r>
              <w:rPr>
                <w:rFonts w:cs="Times New Roman" w:ascii="Times New Roman" w:hAnsi="Times New Roman"/>
                <w:szCs w:val="24"/>
              </w:rPr>
              <w:t>ЧҮПРӘЛЕ</w:t>
            </w:r>
          </w:p>
          <w:p>
            <w:pPr>
              <w:pStyle w:val="Normal"/>
              <w:keepNext w:val="true"/>
              <w:widowControl w:val="false"/>
              <w:numPr>
                <w:ilvl w:val="0"/>
                <w:numId w:val="0"/>
              </w:numPr>
              <w:spacing w:before="0" w:after="60"/>
              <w:ind w:hanging="0" w:left="0" w:right="-108"/>
              <w:jc w:val="center"/>
              <w:outlineLvl w:val="1"/>
              <w:rPr>
                <w:rFonts w:ascii="Times New Roman" w:hAnsi="Times New Roman" w:cs="Times New Roman"/>
                <w:szCs w:val="24"/>
              </w:rPr>
            </w:pPr>
            <w:r>
              <w:rPr>
                <w:rFonts w:cs="Times New Roman" w:ascii="Times New Roman" w:hAnsi="Times New Roman"/>
                <w:szCs w:val="24"/>
              </w:rPr>
              <w:t>МУНИЦИПАЛЬ РАЙОНЫ</w:t>
            </w:r>
          </w:p>
          <w:p>
            <w:pPr>
              <w:pStyle w:val="Normal"/>
              <w:widowControl w:val="false"/>
              <w:spacing w:before="0" w:after="60"/>
              <w:ind w:right="-108"/>
              <w:jc w:val="center"/>
              <w:rPr/>
            </w:pPr>
            <w:r>
              <w:rPr>
                <w:rFonts w:eastAsia="Times New Roman" w:cs="Times New Roman" w:ascii="Times New Roman" w:hAnsi="Times New Roman"/>
                <w:szCs w:val="24"/>
              </w:rPr>
              <w:t xml:space="preserve"> </w:t>
            </w:r>
            <w:r>
              <w:rPr>
                <w:rFonts w:eastAsia="Times New Roman" w:cs="Times New Roman" w:ascii="Times New Roman" w:hAnsi="Times New Roman"/>
                <w:caps/>
                <w:color w:val="000000"/>
                <w:szCs w:val="24"/>
                <w:lang w:val="tt-RU" w:eastAsia="ru-RU"/>
              </w:rPr>
              <w:t>Я</w:t>
            </w:r>
            <w:r>
              <w:rPr>
                <w:rFonts w:cs="Times New Roman" w:ascii="Times New Roman" w:hAnsi="Times New Roman"/>
                <w:szCs w:val="24"/>
                <w:lang w:val="tt-RU"/>
              </w:rPr>
              <w:t>ҢА БОРЫНДЫК АВЫЛ ҖИРЛЕГЕ</w:t>
            </w:r>
            <w:r>
              <w:rPr>
                <w:rFonts w:cs="Times New Roman" w:ascii="Times New Roman" w:hAnsi="Times New Roman"/>
                <w:szCs w:val="24"/>
              </w:rPr>
              <w:t xml:space="preserve"> БАШЛЫГЫ</w:t>
            </w:r>
          </w:p>
          <w:p>
            <w:pPr>
              <w:pStyle w:val="Normal"/>
              <w:widowControl w:val="false"/>
              <w:spacing w:before="0" w:after="60"/>
              <w:ind w:right="-108"/>
              <w:rPr>
                <w:rFonts w:ascii="Times New Roman" w:hAnsi="Times New Roman" w:cs="Times New Roman"/>
                <w:szCs w:val="24"/>
              </w:rPr>
            </w:pPr>
            <w:r>
              <w:rPr>
                <w:rFonts w:cs="Times New Roman" w:ascii="Times New Roman" w:hAnsi="Times New Roman"/>
                <w:szCs w:val="24"/>
              </w:rPr>
            </w:r>
          </w:p>
        </w:tc>
      </w:tr>
      <w:tr>
        <w:trPr>
          <w:trHeight w:val="536" w:hRule="atLeast"/>
        </w:trPr>
        <w:tc>
          <w:tcPr>
            <w:tcW w:w="10313" w:type="dxa"/>
            <w:gridSpan w:val="3"/>
            <w:tcBorders/>
          </w:tcPr>
          <w:p>
            <w:pPr>
              <w:pStyle w:val="Normal"/>
              <w:widowControl w:val="false"/>
              <w:spacing w:before="0" w:after="60"/>
              <w:ind w:right="-108"/>
              <w:jc w:val="center"/>
              <w:rPr>
                <w:szCs w:val="24"/>
                <w:lang w:val="tt-RU"/>
              </w:rPr>
            </w:pPr>
            <w:r>
              <w:rPr/>
              <mc:AlternateContent>
                <mc:Choice Requires="wps">
                  <w:drawing>
                    <wp:inline distT="0" distB="0" distL="0" distR="0">
                      <wp:extent cx="5940425" cy="19050"/>
                      <wp:effectExtent l="0" t="0" r="0" b="0"/>
                      <wp:docPr id="1" name="Фигура1"/>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1"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r>
    </w:tbl>
    <w:p>
      <w:pPr>
        <w:pStyle w:val="Normal"/>
        <w:widowControl w:val="false"/>
        <w:tabs>
          <w:tab w:val="clear" w:pos="708"/>
          <w:tab w:val="left" w:pos="1843" w:leader="none"/>
          <w:tab w:val="left" w:pos="1985" w:leader="none"/>
          <w:tab w:val="left" w:pos="4962" w:leader="none"/>
          <w:tab w:val="left" w:pos="7230" w:leader="none"/>
          <w:tab w:val="left" w:pos="7655" w:leader="none"/>
          <w:tab w:val="left" w:pos="7797" w:leader="none"/>
        </w:tabs>
        <w:spacing w:before="0" w:after="60"/>
        <w:jc w:val="both"/>
        <w:rPr/>
      </w:pPr>
      <w:r>
        <w:rPr>
          <w:rFonts w:cs="Calibri"/>
          <w:b/>
          <w:sz w:val="28"/>
          <w:szCs w:val="28"/>
          <w:lang w:val="en-US"/>
        </w:rPr>
        <w:t xml:space="preserve"> </w:t>
      </w:r>
      <w:r>
        <w:rPr>
          <w:rFonts w:eastAsia="Times New Roman" w:cs="Times New Roman" w:ascii="Times New Roman" w:hAnsi="Times New Roman"/>
          <w:b/>
          <w:sz w:val="28"/>
          <w:szCs w:val="28"/>
          <w:lang w:val="en-US"/>
        </w:rPr>
        <w:t xml:space="preserve"> </w:t>
      </w:r>
      <w:r>
        <w:rPr>
          <w:rFonts w:cs="Times New Roman" w:ascii="Times New Roman" w:hAnsi="Times New Roman"/>
          <w:b/>
          <w:sz w:val="28"/>
          <w:szCs w:val="28"/>
        </w:rPr>
        <w:t xml:space="preserve">ПОСТАНОВЛЕНИЕ                                                     </w:t>
        <w:tab/>
        <w:tab/>
        <w:t xml:space="preserve">     КАРАР</w:t>
      </w:r>
    </w:p>
    <w:p>
      <w:pPr>
        <w:pStyle w:val="Normal"/>
        <w:widowControl w:val="false"/>
        <w:spacing w:before="0" w:after="60"/>
        <w:jc w:val="center"/>
        <w:rPr>
          <w:rFonts w:ascii="Times New Roman" w:hAnsi="Times New Roman" w:cs="Times New Roman"/>
          <w:sz w:val="28"/>
          <w:szCs w:val="28"/>
        </w:rPr>
      </w:pPr>
      <w:r>
        <w:rPr>
          <w:rFonts w:cs="Times New Roman" w:ascii="Times New Roman" w:hAnsi="Times New Roman"/>
          <w:sz w:val="28"/>
          <w:szCs w:val="28"/>
        </w:rPr>
        <w:t>п.ж.-д.ст. Бурундуки</w:t>
      </w:r>
    </w:p>
    <w:p>
      <w:pPr>
        <w:pStyle w:val="Normal"/>
        <w:ind w:right="-1"/>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13.04.2026                                                                                </w:t>
        <w:tab/>
        <w:tab/>
        <w:t>№ 5</w:t>
      </w:r>
    </w:p>
    <w:p>
      <w:pPr>
        <w:pStyle w:val="Normal"/>
        <w:widowControl/>
        <w:suppressAutoHyphens w:val="true"/>
        <w:bidi w:val="0"/>
        <w:spacing w:lineRule="auto" w:line="276" w:before="0" w:after="200"/>
        <w:ind w:hanging="0" w:left="0" w:right="3572"/>
        <w:jc w:val="both"/>
        <w:rPr>
          <w:b w:val="false"/>
          <w:bCs w:val="false"/>
        </w:rPr>
      </w:pPr>
      <w:r>
        <w:rPr>
          <w:rFonts w:cs="Times New Roman" w:ascii="Times New Roman" w:hAnsi="Times New Roman"/>
          <w:b w:val="false"/>
          <w:bCs w:val="false"/>
          <w:sz w:val="28"/>
          <w:szCs w:val="28"/>
        </w:rPr>
        <w:t>Об утверждении План</w:t>
      </w:r>
      <w:r>
        <w:rPr>
          <w:rFonts w:cs="Times New Roman" w:ascii="Times New Roman" w:hAnsi="Times New Roman"/>
          <w:b w:val="false"/>
          <w:bCs w:val="false"/>
          <w:sz w:val="28"/>
          <w:szCs w:val="28"/>
        </w:rPr>
        <w:t>а</w:t>
      </w:r>
      <w:r>
        <w:rPr>
          <w:rFonts w:cs="Times New Roman" w:ascii="Times New Roman" w:hAnsi="Times New Roman"/>
          <w:b w:val="false"/>
          <w:bCs w:val="false"/>
          <w:sz w:val="28"/>
          <w:szCs w:val="28"/>
        </w:rPr>
        <w:t xml:space="preserve"> подготовки </w:t>
      </w:r>
      <w:r>
        <w:rPr>
          <w:rFonts w:cs="Times New Roman" w:ascii="Times New Roman" w:hAnsi="Times New Roman"/>
          <w:b w:val="false"/>
          <w:bCs w:val="false"/>
          <w:sz w:val="28"/>
          <w:szCs w:val="28"/>
          <w:lang w:eastAsia="ru-RU"/>
        </w:rPr>
        <w:t xml:space="preserve">Новобурундуковского сельского поселения Дрожжановского муниципального района Республики Татарстан </w:t>
      </w:r>
      <w:r>
        <w:rPr>
          <w:rFonts w:cs="Times New Roman" w:ascii="Times New Roman" w:hAnsi="Times New Roman"/>
          <w:b w:val="false"/>
          <w:bCs w:val="false"/>
          <w:sz w:val="28"/>
          <w:szCs w:val="28"/>
        </w:rPr>
        <w:t>к отопительному периоду 2026/2027 года</w:t>
        <w:tab/>
      </w:r>
    </w:p>
    <w:p>
      <w:pPr>
        <w:pStyle w:val="Normal"/>
        <w:ind w:right="-1"/>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ab/>
        <w:t xml:space="preserve">В соответствии с Федеральным законом от 27 июля 2010 года № 190-ФЗ «О теплоснабжении», Федеральным законом от 6 октября 2003 года № 131-ФЗ «Об общих принципах организации местного самоуправления в Российской Федерации», приказом Министерства энергетики Российской Федерации от 13 ноября 2024 г. № 2234 «Об утверждении Правил обеспечения готовности к отопительному периоду», руководствуясь статьей 48 Устава  </w:t>
      </w:r>
      <w:r>
        <w:rPr>
          <w:rFonts w:cs="Times New Roman" w:ascii="Times New Roman" w:hAnsi="Times New Roman"/>
          <w:b w:val="false"/>
          <w:bCs w:val="false"/>
          <w:sz w:val="28"/>
          <w:szCs w:val="28"/>
          <w:lang w:eastAsia="ru-RU"/>
        </w:rPr>
        <w:t xml:space="preserve">Новобурундуковского </w:t>
      </w:r>
      <w:r>
        <w:rPr>
          <w:rFonts w:cs="Times New Roman" w:ascii="Times New Roman" w:hAnsi="Times New Roman"/>
          <w:b w:val="false"/>
          <w:bCs w:val="false"/>
          <w:sz w:val="27"/>
          <w:szCs w:val="27"/>
          <w:lang w:eastAsia="ru-RU"/>
        </w:rPr>
        <w:t xml:space="preserve">сельского поселения Дрожжановского муниципального района Республики Татарстан Исполнительный комитет </w:t>
      </w:r>
      <w:r>
        <w:rPr>
          <w:rFonts w:cs="Times New Roman" w:ascii="Times New Roman" w:hAnsi="Times New Roman"/>
          <w:b w:val="false"/>
          <w:bCs w:val="false"/>
          <w:sz w:val="28"/>
          <w:szCs w:val="28"/>
          <w:lang w:eastAsia="ru-RU"/>
        </w:rPr>
        <w:t xml:space="preserve">Новобурундуковского </w:t>
      </w:r>
      <w:r>
        <w:rPr>
          <w:rFonts w:cs="Times New Roman" w:ascii="Times New Roman" w:hAnsi="Times New Roman"/>
          <w:b w:val="false"/>
          <w:bCs w:val="false"/>
          <w:sz w:val="27"/>
          <w:szCs w:val="27"/>
          <w:lang w:eastAsia="ru-RU"/>
        </w:rPr>
        <w:t xml:space="preserve">сельского поселения Дрожжановского муниципального района ПОСТАНОВЛЯЕТ: </w:t>
      </w:r>
    </w:p>
    <w:p>
      <w:pPr>
        <w:pStyle w:val="Normal"/>
        <w:ind w:right="-1"/>
        <w:jc w:val="both"/>
        <w:rPr>
          <w:rFonts w:ascii="Times New Roman" w:hAnsi="Times New Roman" w:cs="Times New Roman"/>
          <w:b w:val="false"/>
          <w:bCs w:val="false"/>
          <w:sz w:val="28"/>
          <w:szCs w:val="28"/>
        </w:rPr>
      </w:pPr>
      <w:r>
        <w:rPr>
          <w:rFonts w:cs="Times New Roman" w:ascii="Times New Roman" w:hAnsi="Times New Roman"/>
          <w:b w:val="false"/>
          <w:bCs w:val="false"/>
          <w:sz w:val="27"/>
          <w:szCs w:val="27"/>
          <w:lang w:eastAsia="ru-RU"/>
        </w:rPr>
        <w:tab/>
        <w:t xml:space="preserve">1. Утвердить План подготовки </w:t>
      </w:r>
      <w:r>
        <w:rPr>
          <w:rFonts w:cs="Times New Roman" w:ascii="Times New Roman" w:hAnsi="Times New Roman"/>
          <w:b w:val="false"/>
          <w:bCs w:val="false"/>
          <w:sz w:val="28"/>
          <w:szCs w:val="28"/>
          <w:lang w:eastAsia="ru-RU"/>
        </w:rPr>
        <w:t xml:space="preserve">Новобурундуковского </w:t>
      </w:r>
      <w:r>
        <w:rPr>
          <w:rFonts w:cs="Times New Roman" w:ascii="Times New Roman" w:hAnsi="Times New Roman"/>
          <w:b w:val="false"/>
          <w:bCs w:val="false"/>
          <w:sz w:val="27"/>
          <w:szCs w:val="27"/>
          <w:lang w:eastAsia="ru-RU"/>
        </w:rPr>
        <w:t>сельского поселения Дрожжановского муниципального района Республики Татарстан к отопительному периоду 2026/2027 года согласно приложению.</w:t>
      </w:r>
    </w:p>
    <w:p>
      <w:pPr>
        <w:pStyle w:val="Normal"/>
        <w:ind w:right="-1"/>
        <w:jc w:val="both"/>
        <w:rPr/>
      </w:pPr>
      <w:r>
        <w:rPr>
          <w:rFonts w:cs="Times New Roman" w:ascii="Times New Roman" w:hAnsi="Times New Roman"/>
          <w:b w:val="false"/>
          <w:bCs w:val="false"/>
          <w:sz w:val="27"/>
          <w:szCs w:val="27"/>
          <w:lang w:eastAsia="ru-RU"/>
        </w:rPr>
        <w:tab/>
        <w:t xml:space="preserve">2. Разместить настоящее постановление на официальном сайте </w:t>
      </w:r>
      <w:r>
        <w:rPr>
          <w:rFonts w:cs="Times New Roman" w:ascii="Times New Roman" w:hAnsi="Times New Roman"/>
          <w:b w:val="false"/>
          <w:bCs w:val="false"/>
          <w:sz w:val="28"/>
          <w:szCs w:val="28"/>
          <w:lang w:eastAsia="ru-RU"/>
        </w:rPr>
        <w:t xml:space="preserve">Новобурундуковского </w:t>
      </w:r>
      <w:r>
        <w:rPr>
          <w:rFonts w:cs="Times New Roman" w:ascii="Times New Roman" w:hAnsi="Times New Roman"/>
          <w:b w:val="false"/>
          <w:bCs w:val="false"/>
          <w:sz w:val="27"/>
          <w:szCs w:val="27"/>
          <w:lang w:eastAsia="ru-RU"/>
        </w:rPr>
        <w:t>сельского поселения Дрожжановского муниципального района Республики Татарстан.</w:t>
      </w:r>
    </w:p>
    <w:p>
      <w:pPr>
        <w:pStyle w:val="Normal"/>
        <w:ind w:right="-1"/>
        <w:jc w:val="both"/>
        <w:rPr/>
      </w:pPr>
      <w:r>
        <w:rPr>
          <w:rFonts w:eastAsia="Times New Roman" w:cs="Times New Roman" w:ascii="Times New Roman" w:hAnsi="Times New Roman"/>
          <w:b w:val="false"/>
          <w:bCs w:val="false"/>
          <w:sz w:val="27"/>
          <w:szCs w:val="27"/>
          <w:lang w:eastAsia="ru-RU"/>
        </w:rPr>
        <w:tab/>
        <w:t>3.</w:t>
      </w:r>
      <w:r>
        <w:rPr>
          <w:rFonts w:eastAsia="Times New Roman" w:cs="Times New Roman" w:ascii="Times New Roman" w:hAnsi="Times New Roman"/>
          <w:b w:val="false"/>
          <w:bCs/>
          <w:sz w:val="28"/>
          <w:szCs w:val="28"/>
          <w:lang w:eastAsia="ru-RU"/>
        </w:rPr>
        <w:t xml:space="preserve"> Контроль за исполнением н</w:t>
      </w:r>
      <w:r>
        <w:rPr>
          <w:rFonts w:cs="Times New Roman" w:ascii="Times New Roman" w:hAnsi="Times New Roman"/>
          <w:bCs/>
          <w:sz w:val="28"/>
          <w:szCs w:val="28"/>
          <w:lang w:eastAsia="ru-RU"/>
        </w:rPr>
        <w:t>астоящего постановления оставляю за собой.</w:t>
      </w:r>
    </w:p>
    <w:p>
      <w:pPr>
        <w:pStyle w:val="Normal"/>
        <w:spacing w:lineRule="auto" w:line="240" w:before="0" w:after="0"/>
        <w:rPr/>
      </w:pPr>
      <w:r>
        <w:rPr>
          <w:rFonts w:cs="Times New Roman" w:ascii="Times New Roman" w:hAnsi="Times New Roman"/>
          <w:sz w:val="27"/>
          <w:szCs w:val="27"/>
          <w:lang w:eastAsia="ru-RU"/>
        </w:rPr>
        <w:t xml:space="preserve">Глава </w:t>
      </w:r>
      <w:r>
        <w:rPr>
          <w:rFonts w:cs="Times New Roman" w:ascii="Times New Roman" w:hAnsi="Times New Roman"/>
          <w:sz w:val="28"/>
          <w:szCs w:val="28"/>
          <w:lang w:eastAsia="ru-RU"/>
        </w:rPr>
        <w:t xml:space="preserve">Новобурундуковского </w:t>
      </w:r>
    </w:p>
    <w:p>
      <w:pPr>
        <w:pStyle w:val="Normal"/>
        <w:spacing w:lineRule="auto" w:line="240" w:before="0" w:after="0"/>
        <w:rPr/>
      </w:pPr>
      <w:r>
        <w:rPr>
          <w:rFonts w:cs="Times New Roman" w:ascii="Times New Roman" w:hAnsi="Times New Roman"/>
          <w:sz w:val="27"/>
          <w:szCs w:val="27"/>
          <w:lang w:eastAsia="ru-RU"/>
        </w:rPr>
        <w:t xml:space="preserve">сельского поселения                                               </w:t>
        <w:tab/>
        <w:tab/>
        <w:tab/>
      </w:r>
      <w:r>
        <w:rPr>
          <w:rFonts w:cs="Times New Roman" w:ascii="Times New Roman" w:hAnsi="Times New Roman"/>
          <w:sz w:val="28"/>
          <w:szCs w:val="28"/>
          <w:lang w:eastAsia="ru-RU"/>
        </w:rPr>
        <w:t xml:space="preserve">     В.Г. Ранцев</w:t>
      </w:r>
    </w:p>
    <w:p>
      <w:pPr>
        <w:pStyle w:val="Normal"/>
        <w:tabs>
          <w:tab w:val="clear" w:pos="708"/>
          <w:tab w:val="left" w:pos="7425" w:leader="none"/>
        </w:tabs>
        <w:spacing w:lineRule="auto" w:line="240" w:before="0" w:after="0"/>
        <w:jc w:val="both"/>
        <w:rPr>
          <w:rFonts w:cs="Times New Roman"/>
        </w:rPr>
      </w:pPr>
      <w:r>
        <w:rPr>
          <w:rFonts w:cs="Times New Roman"/>
        </w:rPr>
      </w:r>
    </w:p>
    <w:p>
      <w:pPr>
        <w:pStyle w:val="Normal"/>
        <w:widowControl/>
        <w:suppressAutoHyphens w:val="true"/>
        <w:bidi w:val="0"/>
        <w:spacing w:lineRule="auto" w:line="276" w:before="0" w:after="0"/>
        <w:ind w:hanging="0" w:left="5726" w:right="0"/>
        <w:jc w:val="left"/>
        <w:rPr>
          <w:rFonts w:ascii="Times New Roman" w:hAnsi="Times New Roman"/>
          <w:sz w:val="24"/>
          <w:szCs w:val="24"/>
        </w:rPr>
      </w:pPr>
      <w:r>
        <w:rPr>
          <w:rFonts w:ascii="Times New Roman" w:hAnsi="Times New Roman"/>
          <w:sz w:val="24"/>
          <w:szCs w:val="24"/>
        </w:rPr>
        <w:t xml:space="preserve">Утвержден постановлением Исполнительного комитета  </w:t>
      </w:r>
    </w:p>
    <w:p>
      <w:pPr>
        <w:pStyle w:val="Normal"/>
        <w:widowControl/>
        <w:suppressAutoHyphens w:val="true"/>
        <w:bidi w:val="0"/>
        <w:spacing w:lineRule="auto" w:line="276" w:before="0" w:after="0"/>
        <w:ind w:hanging="0" w:left="5726" w:right="0"/>
        <w:jc w:val="left"/>
        <w:rPr>
          <w:rFonts w:ascii="Times New Roman" w:hAnsi="Times New Roman"/>
          <w:sz w:val="24"/>
          <w:szCs w:val="24"/>
        </w:rPr>
      </w:pPr>
      <w:r>
        <w:rPr>
          <w:rFonts w:cs="Times New Roman" w:ascii="Times New Roman" w:hAnsi="Times New Roman"/>
          <w:b w:val="false"/>
          <w:bCs w:val="false"/>
          <w:sz w:val="24"/>
          <w:szCs w:val="24"/>
          <w:lang w:eastAsia="ru-RU"/>
        </w:rPr>
        <w:t>Новобурундуковского сельского поселения Дрожжановского муниципального района Республики Татарстан</w:t>
      </w:r>
    </w:p>
    <w:p>
      <w:pPr>
        <w:pStyle w:val="Normal"/>
        <w:widowControl/>
        <w:suppressAutoHyphens w:val="true"/>
        <w:bidi w:val="0"/>
        <w:spacing w:lineRule="auto" w:line="276" w:before="0" w:after="0"/>
        <w:ind w:hanging="0" w:left="5726" w:right="0"/>
        <w:jc w:val="left"/>
        <w:rPr>
          <w:rFonts w:ascii="Times New Roman" w:hAnsi="Times New Roman"/>
          <w:sz w:val="24"/>
          <w:szCs w:val="24"/>
        </w:rPr>
      </w:pPr>
      <w:r>
        <w:rPr>
          <w:rFonts w:cs="Times New Roman" w:ascii="Times New Roman" w:hAnsi="Times New Roman"/>
          <w:b w:val="false"/>
          <w:bCs w:val="false"/>
          <w:sz w:val="24"/>
          <w:szCs w:val="24"/>
          <w:lang w:eastAsia="ru-RU"/>
        </w:rPr>
        <w:t>от 13.04.2026 № 5</w:t>
      </w:r>
    </w:p>
    <w:p>
      <w:pPr>
        <w:pStyle w:val="Normal"/>
        <w:widowControl/>
        <w:suppressAutoHyphens w:val="true"/>
        <w:bidi w:val="0"/>
        <w:spacing w:lineRule="auto" w:line="276" w:before="0" w:after="0"/>
        <w:ind w:hanging="0" w:left="5726" w:right="0"/>
        <w:jc w:val="left"/>
        <w:rPr>
          <w:rFonts w:ascii="Times New Roman" w:hAnsi="Times New Roman"/>
        </w:rPr>
      </w:pPr>
      <w:r>
        <w:rPr>
          <w:rFonts w:ascii="Times New Roman" w:hAnsi="Times New Roman"/>
        </w:rPr>
      </w:r>
    </w:p>
    <w:p>
      <w:pPr>
        <w:pStyle w:val="Normal"/>
        <w:spacing w:before="0" w:after="0"/>
        <w:jc w:val="center"/>
        <w:rPr>
          <w:rFonts w:ascii="Times New Roman" w:hAnsi="Times New Roman"/>
          <w:b/>
          <w:bCs/>
          <w:sz w:val="28"/>
          <w:szCs w:val="28"/>
        </w:rPr>
      </w:pPr>
      <w:r>
        <w:rPr>
          <w:rFonts w:cs="Times New Roman" w:ascii="Times New Roman" w:hAnsi="Times New Roman"/>
          <w:b/>
          <w:bCs/>
          <w:sz w:val="28"/>
          <w:szCs w:val="28"/>
        </w:rPr>
        <w:t xml:space="preserve">План подготовки </w:t>
      </w:r>
      <w:r>
        <w:rPr>
          <w:rFonts w:cs="Times New Roman" w:ascii="Times New Roman" w:hAnsi="Times New Roman"/>
          <w:b/>
          <w:bCs/>
          <w:sz w:val="28"/>
          <w:szCs w:val="28"/>
          <w:lang w:eastAsia="ru-RU"/>
        </w:rPr>
        <w:t xml:space="preserve">Новобурундуковского сельского поселения Дрожжановского муниципального района Республики Татарстан </w:t>
      </w:r>
      <w:r>
        <w:rPr>
          <w:rFonts w:cs="Times New Roman" w:ascii="Times New Roman" w:hAnsi="Times New Roman"/>
          <w:b/>
          <w:bCs/>
          <w:sz w:val="28"/>
          <w:szCs w:val="28"/>
        </w:rPr>
        <w:t>к отопительному периоду 2026/2027 года</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sz w:val="28"/>
          <w:szCs w:val="28"/>
        </w:rPr>
      </w:pPr>
      <w:r>
        <w:rPr>
          <w:rFonts w:cs="Times New Roman" w:ascii="Times New Roman" w:hAnsi="Times New Roman"/>
          <w:b/>
          <w:sz w:val="28"/>
          <w:szCs w:val="28"/>
        </w:rPr>
        <w:t>1. Общие положения</w:t>
      </w:r>
    </w:p>
    <w:tbl>
      <w:tblPr>
        <w:tblStyle w:val="a3"/>
        <w:tblW w:w="10348" w:type="dxa"/>
        <w:jc w:val="left"/>
        <w:tblInd w:w="-714" w:type="dxa"/>
        <w:tblLayout w:type="fixed"/>
        <w:tblCellMar>
          <w:top w:w="55" w:type="dxa"/>
          <w:left w:w="108" w:type="dxa"/>
          <w:bottom w:w="55" w:type="dxa"/>
          <w:right w:w="108" w:type="dxa"/>
        </w:tblCellMar>
        <w:tblLook w:val="04a0"/>
      </w:tblPr>
      <w:tblGrid>
        <w:gridCol w:w="703"/>
        <w:gridCol w:w="5675"/>
        <w:gridCol w:w="3970"/>
      </w:tblGrid>
      <w:tr>
        <w:trPr/>
        <w:tc>
          <w:tcPr>
            <w:tcW w:w="703"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1</w:t>
            </w:r>
          </w:p>
        </w:tc>
        <w:tc>
          <w:tcPr>
            <w:tcW w:w="5675" w:type="dxa"/>
            <w:tcBorders>
              <w:top w:val="single" w:sz="4" w:space="0" w:color="000000"/>
              <w:left w:val="single" w:sz="4" w:space="0" w:color="000000"/>
              <w:bottom w:val="single" w:sz="4" w:space="0" w:color="000000"/>
            </w:tcBorders>
          </w:tcPr>
          <w:p>
            <w:pPr>
              <w:pStyle w:val="Normal"/>
              <w:widowControl/>
              <w:spacing w:lineRule="auto" w:line="240" w:before="0" w:after="0"/>
              <w:jc w:val="both"/>
              <w:rPr>
                <w:b/>
                <w:bCs/>
              </w:rPr>
            </w:pPr>
            <w:r>
              <w:rPr>
                <w:rFonts w:eastAsia="Calibri" w:cs="Times New Roman" w:ascii="Times New Roman" w:hAnsi="Times New Roman"/>
                <w:b/>
                <w:bCs/>
                <w:kern w:val="0"/>
                <w:sz w:val="28"/>
                <w:szCs w:val="28"/>
                <w:lang w:val="ru-RU" w:eastAsia="en-US" w:bidi="ar-SA"/>
              </w:rPr>
              <w:t>Адрес объекта</w:t>
            </w:r>
          </w:p>
        </w:tc>
        <w:tc>
          <w:tcPr>
            <w:tcW w:w="397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b/>
                <w:bCs/>
              </w:rPr>
            </w:pPr>
            <w:r>
              <w:rPr>
                <w:rFonts w:eastAsia="Calibri" w:cs="Times New Roman" w:ascii="Times New Roman" w:hAnsi="Times New Roman"/>
                <w:b/>
                <w:bCs/>
                <w:kern w:val="0"/>
                <w:sz w:val="28"/>
                <w:szCs w:val="28"/>
                <w:lang w:val="ru-RU" w:eastAsia="en-US" w:bidi="ar-SA"/>
              </w:rPr>
              <w:t>Пос.ж.-д.ст.Бурундуки,улица Вокзальная,д.27а</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год постройки / ввода в эксплуатацию</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1968</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площадь здания,</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321,1</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4</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наличие подвала, подполья</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Не имеется</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6</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система отопления</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закрытая</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7</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схема отопления</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трубная</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9</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наличие оборудованного узла учета тепловой энергии</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имеется</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10</w:t>
            </w:r>
          </w:p>
        </w:tc>
        <w:tc>
          <w:tcPr>
            <w:tcW w:w="5675"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теплоснабжающая организация</w:t>
            </w:r>
          </w:p>
        </w:tc>
        <w:tc>
          <w:tcPr>
            <w:tcW w:w="3970"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МУП «Прогресс»</w:t>
            </w:r>
          </w:p>
        </w:tc>
      </w:tr>
    </w:tbl>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sz w:val="28"/>
          <w:szCs w:val="28"/>
        </w:rPr>
      </w:pPr>
      <w:r>
        <w:rPr>
          <w:rFonts w:cs="Times New Roman" w:ascii="Times New Roman" w:hAnsi="Times New Roman"/>
          <w:b/>
          <w:sz w:val="28"/>
          <w:szCs w:val="28"/>
        </w:rPr>
        <w:t>2. Анализ прохождения трех прошлых отопительных периодов</w:t>
      </w:r>
    </w:p>
    <w:tbl>
      <w:tblPr>
        <w:tblStyle w:val="a3"/>
        <w:tblW w:w="10348" w:type="dxa"/>
        <w:jc w:val="left"/>
        <w:tblInd w:w="-714" w:type="dxa"/>
        <w:tblLayout w:type="fixed"/>
        <w:tblCellMar>
          <w:top w:w="55" w:type="dxa"/>
          <w:left w:w="108" w:type="dxa"/>
          <w:bottom w:w="55" w:type="dxa"/>
          <w:right w:w="108" w:type="dxa"/>
        </w:tblCellMar>
        <w:tblLook w:val="04a0"/>
      </w:tblPr>
      <w:tblGrid>
        <w:gridCol w:w="703"/>
        <w:gridCol w:w="7094"/>
        <w:gridCol w:w="2551"/>
      </w:tblGrid>
      <w:tr>
        <w:trPr/>
        <w:tc>
          <w:tcPr>
            <w:tcW w:w="703"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t>1</w:t>
            </w:r>
          </w:p>
        </w:tc>
        <w:tc>
          <w:tcPr>
            <w:tcW w:w="7094" w:type="dxa"/>
            <w:tcBorders>
              <w:top w:val="single" w:sz="4" w:space="0" w:color="000000"/>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продолжительность отопительного периода</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Дни</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2023-2024</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245</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2024-2025</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250</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2025-2026</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254</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t>2</w:t>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минимальная температура наружного воздуха отопительного периода</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 w:ascii="Calibri" w:hAnsi="Calibri"/>
                <w:kern w:val="0"/>
                <w:sz w:val="28"/>
                <w:szCs w:val="28"/>
                <w:vertAlign w:val="superscript"/>
                <w:lang w:val="ru-RU" w:eastAsia="en-US" w:bidi="ar-SA"/>
              </w:rPr>
              <w:t>0</w:t>
            </w:r>
            <w:r>
              <w:rPr>
                <w:rFonts w:eastAsia="Calibri" w:cs="" w:ascii="Calibri" w:hAnsi="Calibri"/>
                <w:kern w:val="0"/>
                <w:sz w:val="28"/>
                <w:szCs w:val="28"/>
                <w:lang w:val="ru-RU" w:eastAsia="en-US" w:bidi="ar-SA"/>
              </w:rPr>
              <w:t>С</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2023-2024</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-31</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2024-2025</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-26</w:t>
            </w:r>
          </w:p>
        </w:tc>
      </w:tr>
      <w:tr>
        <w:trPr/>
        <w:tc>
          <w:tcPr>
            <w:tcW w:w="703" w:type="dxa"/>
            <w:tcBorders>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094"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2025-2026</w:t>
            </w:r>
          </w:p>
        </w:tc>
        <w:tc>
          <w:tcPr>
            <w:tcW w:w="2551"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-32</w:t>
            </w:r>
          </w:p>
        </w:tc>
      </w:tr>
    </w:tbl>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sz w:val="28"/>
          <w:szCs w:val="28"/>
        </w:rPr>
      </w:pPr>
      <w:r>
        <w:rPr>
          <w:rFonts w:cs="Times New Roman" w:ascii="Times New Roman" w:hAnsi="Times New Roman"/>
          <w:b/>
          <w:sz w:val="28"/>
          <w:szCs w:val="28"/>
        </w:rPr>
        <w:t>3. Организационные и технические мероприятия по подготовке к отопительному периоду</w:t>
      </w:r>
    </w:p>
    <w:tbl>
      <w:tblPr>
        <w:tblStyle w:val="a3"/>
        <w:tblW w:w="10059" w:type="dxa"/>
        <w:jc w:val="left"/>
        <w:tblInd w:w="-714" w:type="dxa"/>
        <w:tblLayout w:type="fixed"/>
        <w:tblCellMar>
          <w:top w:w="55" w:type="dxa"/>
          <w:left w:w="108" w:type="dxa"/>
          <w:bottom w:w="55" w:type="dxa"/>
          <w:right w:w="108" w:type="dxa"/>
        </w:tblCellMar>
        <w:tblLook w:val="04a0"/>
      </w:tblPr>
      <w:tblGrid>
        <w:gridCol w:w="695"/>
        <w:gridCol w:w="7867"/>
        <w:gridCol w:w="1497"/>
      </w:tblGrid>
      <w:tr>
        <w:trPr/>
        <w:tc>
          <w:tcPr>
            <w:tcW w:w="695"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7867"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наименование мероприятий, работ</w:t>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1</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Закрытие системы отопления</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21 мая 2026</w:t>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Выполнить требования, установленные </w:t>
            </w:r>
            <w:hyperlink r:id="rId2" w:anchor="l1026" w:tgtFrame="_blank">
              <w:r>
                <w:rPr>
                  <w:rStyle w:val="Hyperlink"/>
                  <w:rFonts w:eastAsia="Calibri" w:cs="Times New Roman" w:ascii="Times New Roman" w:hAnsi="Times New Roman"/>
                  <w:kern w:val="0"/>
                  <w:sz w:val="28"/>
                  <w:szCs w:val="28"/>
                  <w:lang w:val="ru-RU" w:eastAsia="en-US" w:bidi="ar-SA"/>
                </w:rPr>
                <w:t>частью 6</w:t>
              </w:r>
            </w:hyperlink>
            <w:r>
              <w:rPr>
                <w:rFonts w:eastAsia="Calibri" w:cs="Times New Roman" w:ascii="Times New Roman" w:hAnsi="Times New Roman"/>
                <w:kern w:val="0"/>
                <w:sz w:val="28"/>
                <w:szCs w:val="28"/>
                <w:lang w:val="ru-RU" w:eastAsia="en-US" w:bidi="ar-SA"/>
              </w:rPr>
              <w:t xml:space="preserve"> статьи 20 и </w:t>
            </w:r>
            <w:hyperlink r:id="rId3" w:anchor="l962" w:tgtFrame="_blank">
              <w:r>
                <w:rPr>
                  <w:rStyle w:val="Hyperlink"/>
                  <w:rFonts w:eastAsia="Calibri" w:cs="Times New Roman" w:ascii="Times New Roman" w:hAnsi="Times New Roman"/>
                  <w:kern w:val="0"/>
                  <w:sz w:val="28"/>
                  <w:szCs w:val="28"/>
                  <w:lang w:val="ru-RU" w:eastAsia="en-US" w:bidi="ar-SA"/>
                </w:rPr>
                <w:t>частью 3</w:t>
              </w:r>
            </w:hyperlink>
            <w:r>
              <w:rPr>
                <w:rFonts w:eastAsia="Calibri" w:cs="Times New Roman" w:ascii="Times New Roman" w:hAnsi="Times New Roman"/>
                <w:kern w:val="0"/>
                <w:sz w:val="28"/>
                <w:szCs w:val="28"/>
                <w:lang w:val="ru-RU" w:eastAsia="en-US" w:bidi="ar-SA"/>
              </w:rPr>
              <w:t xml:space="preserve"> статьи 23.2 Федерального закона о теплоснабжении.</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Проведение проверки технического состояния здания и устранение неисправностей:</w:t>
            </w:r>
          </w:p>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основных конструкций здания;</w:t>
            </w:r>
          </w:p>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 кровельного покрытия здания;</w:t>
            </w:r>
          </w:p>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 гидроизоляции цоколя ;</w:t>
            </w:r>
          </w:p>
          <w:p>
            <w:pPr>
              <w:pStyle w:val="Normal"/>
              <w:widowControl/>
              <w:spacing w:lineRule="auto" w:line="240" w:before="0" w:after="0"/>
              <w:jc w:val="both"/>
              <w:rPr>
                <w:rFonts w:ascii="Times New Roman" w:hAnsi="Times New Roman" w:cs="Times New Roman"/>
              </w:rPr>
            </w:pPr>
            <w:r>
              <w:rPr>
                <w:rFonts w:cs="Times New Roman" w:ascii="Times New Roman" w:hAnsi="Times New Roman"/>
              </w:rPr>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июнь-август 2026</w:t>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4</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5</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Подготовка системы отопления к проведению и проведение гидравлических испытаний на прочность и плотность внутренних систем теплоснабжения</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31.07.2026</w:t>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6</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Осмотр отопительной системы: радиаторов, трубопровода</w:t>
            </w:r>
          </w:p>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теплопотребляющей энергоустановки</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ежедневно</w:t>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7</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Восстановление изоляции трубопровода системы отопления</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31.08.2026</w:t>
            </w:r>
          </w:p>
        </w:tc>
      </w:tr>
      <w:tr>
        <w:trPr/>
        <w:tc>
          <w:tcPr>
            <w:tcW w:w="695" w:type="dxa"/>
            <w:tcBorders>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8</w:t>
            </w:r>
          </w:p>
        </w:tc>
        <w:tc>
          <w:tcPr>
            <w:tcW w:w="7867"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Подготовка системы отопления к отопительному периоду 2026-2027</w:t>
            </w:r>
          </w:p>
        </w:tc>
        <w:tc>
          <w:tcPr>
            <w:tcW w:w="1497" w:type="dxa"/>
            <w:tcBorders>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31.08.2026</w:t>
            </w:r>
          </w:p>
        </w:tc>
      </w:tr>
    </w:tbl>
    <w:p>
      <w:pPr>
        <w:pStyle w:val="Normal"/>
        <w:jc w:val="center"/>
        <w:rPr>
          <w:rFonts w:ascii="Times New Roman" w:hAnsi="Times New Roman" w:cs="Times New Roman"/>
          <w:b/>
        </w:rPr>
      </w:pPr>
      <w:r>
        <w:rPr>
          <w:rFonts w:cs="Times New Roman" w:ascii="Times New Roman" w:hAnsi="Times New Roman"/>
          <w:b/>
        </w:rPr>
      </w:r>
    </w:p>
    <w:p>
      <w:pPr>
        <w:pStyle w:val="Normal"/>
        <w:jc w:val="center"/>
        <w:rPr>
          <w:sz w:val="28"/>
          <w:szCs w:val="28"/>
        </w:rPr>
      </w:pPr>
      <w:r>
        <w:rPr>
          <w:rFonts w:cs="Times New Roman" w:ascii="Times New Roman" w:hAnsi="Times New Roman"/>
          <w:b/>
          <w:sz w:val="28"/>
          <w:szCs w:val="28"/>
        </w:rPr>
        <w:t>4. Перечень документов, оформляемых в ходе подготовки к отопительному периоду</w:t>
      </w:r>
    </w:p>
    <w:tbl>
      <w:tblPr>
        <w:tblStyle w:val="a3"/>
        <w:tblW w:w="10059" w:type="dxa"/>
        <w:jc w:val="left"/>
        <w:tblInd w:w="-714" w:type="dxa"/>
        <w:tblLayout w:type="fixed"/>
        <w:tblCellMar>
          <w:top w:w="55" w:type="dxa"/>
          <w:left w:w="108" w:type="dxa"/>
          <w:bottom w:w="55" w:type="dxa"/>
          <w:right w:w="108" w:type="dxa"/>
        </w:tblCellMar>
        <w:tblLook w:val="04a0"/>
      </w:tblPr>
      <w:tblGrid>
        <w:gridCol w:w="560"/>
        <w:gridCol w:w="8023"/>
        <w:gridCol w:w="1476"/>
      </w:tblGrid>
      <w:tr>
        <w:trPr/>
        <w:tc>
          <w:tcPr>
            <w:tcW w:w="560"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w:t>
            </w:r>
          </w:p>
        </w:tc>
        <w:tc>
          <w:tcPr>
            <w:tcW w:w="8023"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перечень документов</w:t>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срок выполнения</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w:t>
            </w:r>
          </w:p>
        </w:tc>
        <w:tc>
          <w:tcPr>
            <w:tcW w:w="8023"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20.08.2026</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4</w:t>
            </w:r>
          </w:p>
        </w:tc>
        <w:tc>
          <w:tcPr>
            <w:tcW w:w="8023"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20.08.2026</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5</w:t>
            </w:r>
          </w:p>
        </w:tc>
        <w:tc>
          <w:tcPr>
            <w:tcW w:w="8023"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Получение паспорта готовности к отопительному периоду</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15.09.2026</w:t>
            </w:r>
          </w:p>
        </w:tc>
      </w:tr>
    </w:tbl>
    <w:p>
      <w:pPr>
        <w:pStyle w:val="Normal"/>
        <w:jc w:val="center"/>
        <w:rPr>
          <w:rFonts w:ascii="Times New Roman" w:hAnsi="Times New Roman" w:cs="Times New Roman"/>
          <w:b/>
        </w:rPr>
      </w:pPr>
      <w:r>
        <w:rPr>
          <w:rFonts w:cs="Times New Roman" w:ascii="Times New Roman" w:hAnsi="Times New Roman"/>
          <w:b/>
        </w:rPr>
      </w:r>
    </w:p>
    <w:p>
      <w:pPr>
        <w:pStyle w:val="Normal"/>
        <w:jc w:val="center"/>
        <w:rPr>
          <w:sz w:val="28"/>
          <w:szCs w:val="28"/>
        </w:rPr>
      </w:pPr>
      <w:r>
        <w:rPr>
          <w:rFonts w:cs="Times New Roman" w:ascii="Times New Roman" w:hAnsi="Times New Roman"/>
          <w:b/>
          <w:sz w:val="28"/>
          <w:szCs w:val="28"/>
        </w:rPr>
        <w:t>5. Подготовка к отопительному периоду теплового контура здания</w:t>
      </w:r>
    </w:p>
    <w:tbl>
      <w:tblPr>
        <w:tblStyle w:val="a3"/>
        <w:tblW w:w="10059" w:type="dxa"/>
        <w:jc w:val="left"/>
        <w:tblInd w:w="-714" w:type="dxa"/>
        <w:tblLayout w:type="fixed"/>
        <w:tblCellMar>
          <w:top w:w="55" w:type="dxa"/>
          <w:left w:w="108" w:type="dxa"/>
          <w:bottom w:w="55" w:type="dxa"/>
          <w:right w:w="108" w:type="dxa"/>
        </w:tblCellMar>
        <w:tblLook w:val="04a0"/>
      </w:tblPr>
      <w:tblGrid>
        <w:gridCol w:w="560"/>
        <w:gridCol w:w="8023"/>
        <w:gridCol w:w="1476"/>
      </w:tblGrid>
      <w:tr>
        <w:trPr/>
        <w:tc>
          <w:tcPr>
            <w:tcW w:w="560"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w:t>
            </w:r>
          </w:p>
        </w:tc>
        <w:tc>
          <w:tcPr>
            <w:tcW w:w="8023" w:type="dxa"/>
            <w:tcBorders>
              <w:top w:val="single" w:sz="4" w:space="0" w:color="000000"/>
              <w:left w:val="single" w:sz="4" w:space="0" w:color="000000"/>
              <w:bottom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перечень мероприятий</w:t>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center"/>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срок выполнения</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1</w:t>
            </w:r>
          </w:p>
        </w:tc>
        <w:tc>
          <w:tcPr>
            <w:tcW w:w="8023" w:type="dxa"/>
            <w:tcBorders>
              <w:left w:val="single" w:sz="4" w:space="0" w:color="000000"/>
              <w:bottom w:val="single" w:sz="4" w:space="0" w:color="000000"/>
            </w:tcBorders>
          </w:tcPr>
          <w:p>
            <w:pPr>
              <w:pStyle w:val="Normal"/>
              <w:widowControl/>
              <w:spacing w:lineRule="auto" w:line="240" w:before="0" w:after="0"/>
              <w:jc w:val="left"/>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Ремонт монтажных (межпанельных) швов</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30.08.2026</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2</w:t>
            </w:r>
          </w:p>
        </w:tc>
        <w:tc>
          <w:tcPr>
            <w:tcW w:w="8023" w:type="dxa"/>
            <w:tcBorders>
              <w:left w:val="single" w:sz="4" w:space="0" w:color="000000"/>
              <w:bottom w:val="single" w:sz="4" w:space="0" w:color="000000"/>
            </w:tcBorders>
          </w:tcPr>
          <w:p>
            <w:pPr>
              <w:pStyle w:val="Normal"/>
              <w:widowControl/>
              <w:spacing w:lineRule="auto" w:line="240" w:before="0" w:after="0"/>
              <w:jc w:val="left"/>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Замена контурного уплотнителя входных дверей</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20.08.2026</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3</w:t>
            </w:r>
          </w:p>
        </w:tc>
        <w:tc>
          <w:tcPr>
            <w:tcW w:w="8023" w:type="dxa"/>
            <w:tcBorders>
              <w:left w:val="single" w:sz="4" w:space="0" w:color="000000"/>
              <w:bottom w:val="single" w:sz="4" w:space="0" w:color="000000"/>
            </w:tcBorders>
          </w:tcPr>
          <w:p>
            <w:pPr>
              <w:pStyle w:val="Normal"/>
              <w:widowControl/>
              <w:spacing w:lineRule="auto" w:line="240" w:before="0" w:after="0"/>
              <w:jc w:val="left"/>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Ремонт кровли</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до 20.08.2026</w:t>
            </w:r>
          </w:p>
        </w:tc>
      </w:tr>
      <w:tr>
        <w:trPr/>
        <w:tc>
          <w:tcPr>
            <w:tcW w:w="560" w:type="dxa"/>
            <w:tcBorders>
              <w:left w:val="single" w:sz="4" w:space="0" w:color="000000"/>
              <w:bottom w:val="single" w:sz="4" w:space="0" w:color="000000"/>
            </w:tcBorders>
          </w:tcPr>
          <w:p>
            <w:pPr>
              <w:pStyle w:val="Normal"/>
              <w:widowControl/>
              <w:spacing w:lineRule="auto" w:line="240" w:before="0" w:after="0"/>
              <w:jc w:val="both"/>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4</w:t>
            </w:r>
          </w:p>
        </w:tc>
        <w:tc>
          <w:tcPr>
            <w:tcW w:w="8023" w:type="dxa"/>
            <w:tcBorders>
              <w:left w:val="single" w:sz="4" w:space="0" w:color="000000"/>
              <w:bottom w:val="single" w:sz="4" w:space="0" w:color="000000"/>
            </w:tcBorders>
          </w:tcPr>
          <w:p>
            <w:pPr>
              <w:pStyle w:val="Normal"/>
              <w:widowControl/>
              <w:spacing w:lineRule="auto" w:line="240" w:before="0" w:after="0"/>
              <w:jc w:val="left"/>
              <w:rPr>
                <w:rFonts w:ascii="Calibri" w:hAnsi="Calibri" w:eastAsia="Calibri" w:cs=""/>
                <w:kern w:val="0"/>
                <w:sz w:val="28"/>
                <w:szCs w:val="28"/>
                <w:lang w:val="ru-RU" w:eastAsia="en-US" w:bidi="ar-SA"/>
              </w:rPr>
            </w:pPr>
            <w:r>
              <w:rPr>
                <w:rFonts w:eastAsia="Calibri" w:cs="Times New Roman" w:ascii="Times New Roman" w:hAnsi="Times New Roman"/>
                <w:kern w:val="0"/>
                <w:sz w:val="28"/>
                <w:szCs w:val="28"/>
                <w:lang w:val="ru-RU" w:eastAsia="en-US" w:bidi="ar-SA"/>
              </w:rPr>
              <w:t>Ремонт оконных рам</w:t>
            </w:r>
          </w:p>
        </w:tc>
        <w:tc>
          <w:tcPr>
            <w:tcW w:w="1476"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r>
    </w:tbl>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Symbol">
    <w:charset w:val="01"/>
    <w:family w:val="roman"/>
    <w:pitch w:val="default"/>
  </w:font>
  <w:font w:name="PT Astra Serif">
    <w:charset w:val="01"/>
    <w:family w:val="roman"/>
    <w:pitch w:val="default"/>
  </w:font>
  <w:font w:name="Calibri">
    <w:charset w:val="01"/>
    <w:family w:val="roman"/>
    <w:pitch w:val="default"/>
  </w:font>
</w:fonts>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character" w:styleId="FollowedHyperlink">
    <w:name w:val="FollowedHyperlink"/>
    <w:rPr>
      <w:color w:val="800000"/>
      <w:u w:val="single"/>
    </w:rPr>
  </w:style>
  <w:style w:type="character" w:styleId="WW8Num2z0">
    <w:name w:val="WW8Num2z0"/>
    <w:qFormat/>
    <w:rPr>
      <w:rFonts w:ascii="Times New Roman" w:hAnsi="Times New Roman" w:eastAsia="Times New Roman" w:cs="Times New Roman"/>
      <w:b w:val="false"/>
      <w:bCs w:val="false"/>
      <w:i w:val="false"/>
      <w:iCs w:val="false"/>
      <w:spacing w:val="0"/>
      <w:w w:val="100"/>
      <w:sz w:val="28"/>
      <w:szCs w:val="28"/>
      <w:lang w:val="ru-RU" w:eastAsia="en-US" w:bidi="ar-SA"/>
    </w:rPr>
  </w:style>
  <w:style w:type="character" w:styleId="WW8Num2z1">
    <w:name w:val="WW8Num2z1"/>
    <w:qFormat/>
    <w:rPr>
      <w:rFonts w:ascii="Symbol" w:hAnsi="Symbol" w:cs="Symbol"/>
      <w:lang w:val="ru-RU" w:eastAsia="en-US" w:bidi="ar-SA"/>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numbering" w:styleId="Style16" w:default="1">
    <w:name w:val="Без списка"/>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ormativ.kontur.ru/document?moduleId=1&amp;documentId=476930" TargetMode="External"/><Relationship Id="rId3" Type="http://schemas.openxmlformats.org/officeDocument/2006/relationships/hyperlink" Target="https://normativ.kontur.ru/document?moduleId=1&amp;documentId=476930"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88</TotalTime>
  <Application>LibreOffice/24.8.4.2$Linux_X86_64 LibreOffice_project/480$Build-2</Application>
  <AppVersion>15.0000</AppVersion>
  <Pages>4</Pages>
  <Words>582</Words>
  <Characters>4373</Characters>
  <CharactersWithSpaces>5042</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2026-04-23T15:44:02Z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