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vertAnchor="page" w:horzAnchor="margin" w:tblpXSpec="center" w:bottomFromText="200" w:leftFromText="180" w:rightFromText="180" w:tblpY="676"/>
        <w:tblW w:w="1049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9"/>
        <w:gridCol w:w="5106"/>
        <w:gridCol w:w="709"/>
        <w:gridCol w:w="4442"/>
        <w:gridCol w:w="94"/>
      </w:tblGrid>
      <w:tr>
        <w:trPr>
          <w:trHeight w:val="1936" w:hRule="atLeast"/>
        </w:trPr>
        <w:tc>
          <w:tcPr>
            <w:tcW w:w="5245" w:type="dxa"/>
            <w:gridSpan w:val="2"/>
            <w:tcBorders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ind w:hanging="0" w:left="-108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cs="Arial"/>
                <w:lang w:val="en-US"/>
              </w:rPr>
              <w:t>C</w:t>
            </w:r>
            <w:r>
              <w:rPr>
                <w:rFonts w:cs="Arial"/>
              </w:rPr>
              <w:t>ОВЕТ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08"/>
                <w:tab w:val="left" w:pos="1884" w:leader="none"/>
              </w:tabs>
              <w:ind w:hanging="0" w:left="-108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cs="Arial"/>
              </w:rPr>
              <w:t>НОВОБУРУНДУКОВСКОГО СЕЛЬСКОГО ПОСЕЛЕНИЯ ДРОЖЖАНОВСКОГО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08"/>
                <w:tab w:val="left" w:pos="1884" w:leader="none"/>
              </w:tabs>
              <w:ind w:hanging="0" w:left="-108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cs="Arial"/>
              </w:rPr>
              <w:t>МУНИЦИПАЛЬНОГО РАЙОНА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08"/>
                <w:tab w:val="left" w:pos="1884" w:leader="none"/>
              </w:tabs>
              <w:ind w:hanging="0" w:left="-108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cs="Arial"/>
              </w:rPr>
              <w:t>РЕСПУБЛИКИ ТАТАРСТАН</w:t>
            </w:r>
          </w:p>
          <w:p>
            <w:pPr>
              <w:pStyle w:val="Normal"/>
              <w:tabs>
                <w:tab w:val="clear" w:pos="708"/>
                <w:tab w:val="left" w:pos="1884" w:leader="none"/>
              </w:tabs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709" w:type="dxa"/>
            <w:tcBorders/>
          </w:tcPr>
          <w:p>
            <w:pPr>
              <w:pStyle w:val="Normal"/>
              <w:ind w:right="-108"/>
              <w:jc w:val="center"/>
              <w:rPr>
                <w:rFonts w:ascii="Times New Roman" w:hAnsi="Times New Roman" w:cs="Arial"/>
              </w:rPr>
            </w:pPr>
            <w:r>
              <w:rPr>
                <w:rFonts w:cs="Arial"/>
              </w:rPr>
            </w:r>
          </w:p>
        </w:tc>
        <w:tc>
          <w:tcPr>
            <w:tcW w:w="4536" w:type="dxa"/>
            <w:gridSpan w:val="2"/>
            <w:tcBorders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ind w:hanging="0" w:left="0" w:right="-108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cs="Arial"/>
              </w:rPr>
              <w:t>ТАТАРСТАН           РЕСПУБЛИКАСЫ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ind w:hanging="0" w:left="0" w:right="-108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cs="Arial"/>
              </w:rPr>
              <w:t>ЧҮПРӘЛЕ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ind w:hanging="0" w:left="0" w:right="-108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cs="Arial"/>
              </w:rPr>
              <w:t>МУНИЦИПАЛЬ РАЙОНЫ</w:t>
            </w:r>
          </w:p>
          <w:p>
            <w:pPr>
              <w:pStyle w:val="Normal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caps/>
              </w:rPr>
              <w:t>Я</w:t>
            </w:r>
            <w:r>
              <w:rPr>
                <w:rFonts w:cs="Arial"/>
              </w:rPr>
              <w:t>ҢА БОРЫНДЫК</w:t>
            </w:r>
          </w:p>
          <w:p>
            <w:pPr>
              <w:pStyle w:val="Normal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</w:rPr>
              <w:t>ҖИРЛЕГЕ СОВЕТЫ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>
          <w:trHeight w:val="433" w:hRule="atLeast"/>
        </w:trPr>
        <w:tc>
          <w:tcPr>
            <w:tcW w:w="139" w:type="dxa"/>
            <w:tcBorders/>
          </w:tcPr>
          <w:p>
            <w:pPr>
              <w:pStyle w:val="Normal"/>
              <w:tabs>
                <w:tab w:val="clear" w:pos="708"/>
                <w:tab w:val="left" w:pos="1884" w:leader="none"/>
              </w:tabs>
              <w:jc w:val="both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10257" w:type="dxa"/>
            <w:gridSpan w:val="3"/>
            <w:tcBorders/>
          </w:tcPr>
          <w:p>
            <w:pPr>
              <w:pStyle w:val="Normal"/>
              <w:tabs>
                <w:tab w:val="clear" w:pos="708"/>
                <w:tab w:val="left" w:pos="1884" w:leader="none"/>
              </w:tabs>
              <w:jc w:val="both"/>
              <w:rPr>
                <w:rFonts w:ascii="Times New Roman" w:hAnsi="Times New Roman"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6210935" cy="19050"/>
                      <wp:effectExtent l="0" t="0" r="0" b="0"/>
                      <wp:docPr id="1" name="Фигура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11080" cy="1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hape_0" ID="Фигура 2" path="m0,0l-2147483645,0l-2147483645,-2147483646l0,-2147483646xe" fillcolor="black" stroked="f" o:allowincell="f" style="position:absolute;margin-left:0pt;margin-top:-1.55pt;width:489pt;height:1.45pt;mso-wrap-style:none;v-text-anchor:middle;mso-position-vertical:top">
                      <v:fill o:detectmouseclick="t" type="solid" color2="white"/>
                      <v:stroke color="#3465a4" joinstyle="round" endcap="flat"/>
                      <w10:wrap type="square"/>
                    </v:rect>
                  </w:pict>
                </mc:Fallback>
              </mc:AlternateContent>
            </w:r>
          </w:p>
        </w:tc>
        <w:tc>
          <w:tcPr>
            <w:tcW w:w="9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08"/>
          <w:tab w:val="left" w:pos="1843" w:leader="none"/>
          <w:tab w:val="left" w:pos="1985" w:leader="none"/>
          <w:tab w:val="left" w:pos="2127" w:leader="none"/>
          <w:tab w:val="left" w:pos="4962" w:leader="none"/>
          <w:tab w:val="left" w:pos="7230" w:leader="none"/>
          <w:tab w:val="left" w:pos="7655" w:leader="none"/>
          <w:tab w:val="left" w:pos="7797" w:leader="none"/>
        </w:tabs>
        <w:jc w:val="both"/>
        <w:rPr>
          <w:rFonts w:ascii="Times New Roman" w:hAnsi="Times New Roman"/>
        </w:rPr>
      </w:pPr>
      <w:r>
        <w:rPr>
          <w:rFonts w:cs="Arial"/>
          <w:sz w:val="28"/>
          <w:szCs w:val="28"/>
        </w:rPr>
        <w:t xml:space="preserve">РЕШЕНИЕ                                     </w:t>
        <w:tab/>
        <w:tab/>
        <w:tab/>
        <w:tab/>
        <w:t xml:space="preserve">   КАРАР </w:t>
      </w:r>
    </w:p>
    <w:p>
      <w:pPr>
        <w:pStyle w:val="Normal"/>
        <w:tabs>
          <w:tab w:val="clear" w:pos="708"/>
          <w:tab w:val="left" w:pos="1843" w:leader="none"/>
          <w:tab w:val="left" w:pos="1985" w:leader="none"/>
          <w:tab w:val="left" w:pos="2127" w:leader="none"/>
          <w:tab w:val="left" w:pos="4962" w:leader="none"/>
          <w:tab w:val="left" w:pos="7230" w:leader="none"/>
          <w:tab w:val="left" w:pos="7655" w:leader="none"/>
          <w:tab w:val="left" w:pos="7797" w:leader="none"/>
        </w:tabs>
        <w:jc w:val="center"/>
        <w:rPr>
          <w:rFonts w:ascii="Times New Roman" w:hAnsi="Times New Roman"/>
        </w:rPr>
      </w:pPr>
      <w:r>
        <w:rPr>
          <w:rFonts w:cs="Arial"/>
          <w:sz w:val="28"/>
          <w:szCs w:val="28"/>
        </w:rPr>
        <w:t>п.ж.-д.ст. Бурундуки</w:t>
      </w:r>
    </w:p>
    <w:p>
      <w:pPr>
        <w:pStyle w:val="Normal"/>
        <w:spacing w:lineRule="atLeast" w:line="300" w:before="150" w:after="150"/>
        <w:rPr>
          <w:rFonts w:ascii="Times New Roman" w:hAnsi="Times New Roman"/>
        </w:rPr>
      </w:pPr>
      <w:r>
        <w:rPr>
          <w:sz w:val="28"/>
          <w:szCs w:val="28"/>
        </w:rPr>
        <w:t>02 февраля 2026 года</w:t>
        <w:tab/>
        <w:tab/>
        <w:t xml:space="preserve">        </w:t>
        <w:tab/>
        <w:tab/>
        <w:tab/>
        <w:tab/>
        <w:tab/>
        <w:t xml:space="preserve">             № 7/1</w:t>
      </w:r>
    </w:p>
    <w:p>
      <w:pPr>
        <w:pStyle w:val="headertext"/>
        <w:spacing w:beforeAutospacing="0" w:before="0" w:afterAutospacing="0" w:after="0"/>
        <w:ind w:right="4111"/>
        <w:jc w:val="both"/>
        <w:rPr>
          <w:sz w:val="28"/>
        </w:rPr>
      </w:pPr>
      <w:r>
        <w:rPr>
          <w:sz w:val="28"/>
        </w:rPr>
      </w:r>
    </w:p>
    <w:p>
      <w:pPr>
        <w:pStyle w:val="headertext"/>
        <w:spacing w:beforeAutospacing="0" w:before="0" w:afterAutospacing="0" w:after="0"/>
        <w:ind w:right="4111"/>
        <w:jc w:val="both"/>
        <w:rPr>
          <w:sz w:val="28"/>
        </w:rPr>
      </w:pPr>
      <w:r>
        <w:rPr>
          <w:sz w:val="28"/>
        </w:rPr>
        <w:t>О внесении изменений в решение Совета Новобурундуковского сельского поселения Дрожжановского муниципального района Республики Татарстан от 15.11.2019 № 77/5 «О налоге на имущество физических лиц»</w:t>
      </w:r>
    </w:p>
    <w:p>
      <w:pPr>
        <w:pStyle w:val="headertext"/>
        <w:spacing w:beforeAutospacing="0" w:before="0" w:afterAutospacing="0" w:after="0"/>
        <w:jc w:val="center"/>
        <w:rPr>
          <w:sz w:val="28"/>
        </w:rPr>
      </w:pPr>
      <w:r>
        <w:rPr>
          <w:sz w:val="28"/>
        </w:rPr>
      </w:r>
    </w:p>
    <w:p>
      <w:pPr>
        <w:pStyle w:val="formattext"/>
        <w:spacing w:beforeAutospacing="0" w:before="0" w:afterAutospacing="0" w:after="0"/>
        <w:ind w:firstLine="480"/>
        <w:jc w:val="both"/>
        <w:rPr>
          <w:sz w:val="28"/>
        </w:rPr>
      </w:pPr>
      <w:r>
        <w:rPr>
          <w:sz w:val="28"/>
        </w:rPr>
        <w:t xml:space="preserve">В соответствии с Налоговым кодексом Российской Федерации Совет Новобурундуковского </w:t>
      </w:r>
      <w:r>
        <w:rPr>
          <w:rStyle w:val="match"/>
          <w:rFonts w:eastAsia="" w:eastAsiaTheme="majorEastAsia"/>
          <w:sz w:val="28"/>
        </w:rPr>
        <w:t>сельского</w:t>
      </w:r>
      <w:r>
        <w:rPr>
          <w:sz w:val="28"/>
        </w:rPr>
        <w:t xml:space="preserve"> </w:t>
      </w:r>
      <w:r>
        <w:rPr>
          <w:rStyle w:val="match"/>
          <w:rFonts w:eastAsia="" w:eastAsiaTheme="majorEastAsia"/>
          <w:sz w:val="28"/>
        </w:rPr>
        <w:t>поселения</w:t>
      </w:r>
      <w:r>
        <w:rPr>
          <w:sz w:val="28"/>
        </w:rPr>
        <w:t xml:space="preserve"> Дрожжановского муниципального района Республики Татарстан </w:t>
      </w:r>
      <w:r>
        <w:rPr>
          <w:b/>
          <w:sz w:val="28"/>
        </w:rPr>
        <w:t>решил:</w:t>
      </w:r>
    </w:p>
    <w:p>
      <w:pPr>
        <w:pStyle w:val="formattext"/>
        <w:spacing w:beforeAutospacing="0" w:before="0" w:afterAutospacing="0" w:after="0"/>
        <w:ind w:firstLine="480"/>
        <w:jc w:val="both"/>
        <w:rPr>
          <w:sz w:val="28"/>
        </w:rPr>
      </w:pPr>
      <w:r>
        <w:rPr>
          <w:sz w:val="28"/>
        </w:rPr>
        <w:t xml:space="preserve">1. Внести </w:t>
      </w:r>
      <w:r>
        <w:rPr>
          <w:b/>
          <w:bCs/>
          <w:sz w:val="28"/>
        </w:rPr>
        <w:t xml:space="preserve">в пункт 2 </w:t>
      </w:r>
      <w:r>
        <w:rPr>
          <w:sz w:val="28"/>
        </w:rPr>
        <w:t xml:space="preserve">решения Совета Новобурундуковского сельского поселения Дрожжановского муниципального района от 15.11.2019 № 77/5 «О налоге на имущество физических лиц» (в редакции от </w:t>
      </w:r>
      <w:r>
        <w:rPr>
          <w:sz w:val="28"/>
          <w:szCs w:val="28"/>
        </w:rPr>
        <w:t>08.06.2020 № 84/1, 15.11.2022 № 29/2</w:t>
      </w:r>
      <w:r>
        <w:rPr>
          <w:sz w:val="28"/>
        </w:rPr>
        <w:t>, от 13.10.2023 № 42/1, от 24.09.2024 № 52/1, от 13.12.2024 №55/3), от 14.11.2025 №3/2) следующие изменения:</w:t>
      </w:r>
    </w:p>
    <w:p>
      <w:pPr>
        <w:pStyle w:val="formattext"/>
        <w:spacing w:beforeAutospacing="0" w:before="0" w:afterAutospacing="0" w:after="0"/>
        <w:ind w:firstLine="480"/>
        <w:jc w:val="both"/>
        <w:rPr>
          <w:sz w:val="28"/>
        </w:rPr>
      </w:pPr>
      <w:r>
        <w:rPr>
          <w:sz w:val="28"/>
        </w:rPr>
        <w:t xml:space="preserve">1) </w:t>
      </w:r>
      <w:r>
        <w:rPr>
          <w:b/>
          <w:bCs/>
          <w:sz w:val="28"/>
        </w:rPr>
        <w:t>подпункт 4</w:t>
      </w:r>
      <w:r>
        <w:rPr>
          <w:sz w:val="28"/>
        </w:rPr>
        <w:t xml:space="preserve"> изложить в следующей редакции:</w:t>
      </w:r>
    </w:p>
    <w:p>
      <w:pPr>
        <w:pStyle w:val="formattext"/>
        <w:spacing w:beforeAutospacing="0" w:before="0" w:afterAutospacing="0" w:after="0"/>
        <w:ind w:firstLine="480"/>
        <w:jc w:val="both"/>
        <w:rPr/>
      </w:pPr>
      <w:r>
        <w:rPr>
          <w:rFonts w:ascii="Nimbus Roman" w:hAnsi="Nimbus Roman"/>
          <w:color w:val="000000"/>
          <w:sz w:val="28"/>
          <w:szCs w:val="28"/>
          <w:u w:val="none"/>
        </w:rPr>
        <w:t xml:space="preserve">«4) </w:t>
      </w:r>
      <w:r>
        <w:rPr>
          <w:rFonts w:ascii="Nimbus Roman" w:hAnsi="Nimbus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2 процентов в отношении </w:t>
      </w:r>
      <w:r>
        <w:fldChar w:fldCharType="begin"/>
      </w:r>
      <w:r>
        <w:rPr>
          <w:rStyle w:val="Hyperlink"/>
          <w:smallCaps w:val="false"/>
          <w:caps w:val="false"/>
          <w:sz w:val="28"/>
          <w:spacing w:val="0"/>
          <w:i w:val="false"/>
          <w:u w:val="none"/>
          <w:b w:val="false"/>
          <w:shd w:fill="FFFFFF" w:val="clear"/>
          <w:szCs w:val="28"/>
          <w:rFonts w:ascii="Nimbus Roman" w:hAnsi="Nimbus Roman"/>
          <w:color w:val="000000"/>
        </w:rPr>
        <w:instrText xml:space="preserve"> HYPERLINK "https://www.consultant.ru/document/cons_doc_LAW_396191/d64042b9c9ce3b0ef1806cc478a892d70c52fc0c/" \l "dst100020"</w:instrText>
      </w:r>
      <w:r>
        <w:rPr>
          <w:rStyle w:val="Hyperlink"/>
          <w:smallCaps w:val="false"/>
          <w:caps w:val="false"/>
          <w:sz w:val="28"/>
          <w:spacing w:val="0"/>
          <w:i w:val="false"/>
          <w:u w:val="none"/>
          <w:b w:val="false"/>
          <w:shd w:fill="FFFFFF" w:val="clear"/>
          <w:szCs w:val="28"/>
          <w:rFonts w:ascii="Nimbus Roman" w:hAnsi="Nimbus Roman"/>
          <w:color w:val="000000"/>
        </w:rPr>
        <w:fldChar w:fldCharType="separate"/>
      </w:r>
      <w:r>
        <w:rPr>
          <w:rStyle w:val="Hyperlink"/>
          <w:rFonts w:ascii="Nimbus Roman" w:hAnsi="Nimbus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</w:rPr>
        <w:t>объектов</w:t>
      </w:r>
      <w:r>
        <w:rPr>
          <w:rStyle w:val="Hyperlink"/>
          <w:smallCaps w:val="false"/>
          <w:caps w:val="false"/>
          <w:sz w:val="28"/>
          <w:spacing w:val="0"/>
          <w:i w:val="false"/>
          <w:u w:val="none"/>
          <w:b w:val="false"/>
          <w:shd w:fill="FFFFFF" w:val="clear"/>
          <w:szCs w:val="28"/>
          <w:rFonts w:ascii="Nimbus Roman" w:hAnsi="Nimbus Roman"/>
          <w:color w:val="000000"/>
        </w:rPr>
        <w:fldChar w:fldCharType="end"/>
      </w:r>
      <w:r>
        <w:rPr>
          <w:rFonts w:ascii="Nimbus Roman" w:hAnsi="Nimbus Roman"/>
          <w:caps w:val="false"/>
          <w:smallCaps w:val="false"/>
          <w:color w:val="000000"/>
          <w:spacing w:val="0"/>
          <w:sz w:val="28"/>
          <w:szCs w:val="28"/>
          <w:u w:val="none"/>
        </w:rPr>
        <w:t> </w:t>
      </w:r>
      <w:r>
        <w:rPr>
          <w:rFonts w:ascii="Nimbus Roman" w:hAnsi="Nimbus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налогообложения, включенных в перечень, определяемый в соответствии с </w:t>
      </w:r>
      <w:r>
        <w:fldChar w:fldCharType="begin"/>
      </w:r>
      <w:r>
        <w:rPr>
          <w:rStyle w:val="Hyperlink"/>
          <w:smallCaps w:val="false"/>
          <w:caps w:val="false"/>
          <w:sz w:val="28"/>
          <w:spacing w:val="0"/>
          <w:i w:val="false"/>
          <w:u w:val="none"/>
          <w:b w:val="false"/>
          <w:shd w:fill="FFFFFF" w:val="clear"/>
          <w:szCs w:val="28"/>
          <w:rFonts w:ascii="Nimbus Roman" w:hAnsi="Nimbus Roman"/>
          <w:color w:val="000000"/>
        </w:rPr>
        <w:instrText xml:space="preserve"> HYPERLINK "https://www.consultant.ru/document/cons_doc_LAW_495706/f6758978b92339b7e996fde13e5104caec7531d2/" \l "dst9219"</w:instrText>
      </w:r>
      <w:r>
        <w:rPr>
          <w:rStyle w:val="Hyperlink"/>
          <w:smallCaps w:val="false"/>
          <w:caps w:val="false"/>
          <w:sz w:val="28"/>
          <w:spacing w:val="0"/>
          <w:i w:val="false"/>
          <w:u w:val="none"/>
          <w:b w:val="false"/>
          <w:shd w:fill="FFFFFF" w:val="clear"/>
          <w:szCs w:val="28"/>
          <w:rFonts w:ascii="Nimbus Roman" w:hAnsi="Nimbus Roman"/>
          <w:color w:val="000000"/>
        </w:rPr>
        <w:fldChar w:fldCharType="separate"/>
      </w:r>
      <w:r>
        <w:rPr>
          <w:rStyle w:val="Hyperlink"/>
          <w:rFonts w:ascii="Nimbus Roman" w:hAnsi="Nimbus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</w:rPr>
        <w:t>пунктом 7 статьи 378.2</w:t>
      </w:r>
      <w:r>
        <w:rPr>
          <w:rStyle w:val="Hyperlink"/>
          <w:smallCaps w:val="false"/>
          <w:caps w:val="false"/>
          <w:sz w:val="28"/>
          <w:spacing w:val="0"/>
          <w:i w:val="false"/>
          <w:u w:val="none"/>
          <w:b w:val="false"/>
          <w:shd w:fill="FFFFFF" w:val="clear"/>
          <w:szCs w:val="28"/>
          <w:rFonts w:ascii="Nimbus Roman" w:hAnsi="Nimbus Roman"/>
          <w:color w:val="000000"/>
        </w:rPr>
        <w:fldChar w:fldCharType="end"/>
      </w:r>
      <w:r>
        <w:rPr>
          <w:rFonts w:ascii="Nimbus Roman" w:hAnsi="Nimbus Roman"/>
          <w:caps w:val="false"/>
          <w:smallCaps w:val="false"/>
          <w:color w:val="000000"/>
          <w:spacing w:val="0"/>
          <w:sz w:val="28"/>
          <w:szCs w:val="28"/>
          <w:u w:val="none"/>
        </w:rPr>
        <w:t> Налогового Кодекса РФ</w:t>
      </w:r>
      <w:r>
        <w:rPr>
          <w:rFonts w:ascii="Nimbus Roman" w:hAnsi="Nimbus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, в отношении объектов налогообложения, предусмотренных </w:t>
      </w:r>
      <w:r>
        <w:fldChar w:fldCharType="begin"/>
      </w:r>
      <w:r>
        <w:rPr>
          <w:rStyle w:val="Hyperlink"/>
          <w:smallCaps w:val="false"/>
          <w:caps w:val="false"/>
          <w:sz w:val="28"/>
          <w:spacing w:val="0"/>
          <w:i w:val="false"/>
          <w:u w:val="none"/>
          <w:b w:val="false"/>
          <w:shd w:fill="FFFFFF" w:val="clear"/>
          <w:szCs w:val="28"/>
          <w:rFonts w:ascii="Nimbus Roman" w:hAnsi="Nimbus Roman"/>
          <w:color w:val="000000"/>
        </w:rPr>
        <w:instrText xml:space="preserve"> HYPERLINK "https://www.consultant.ru/document/cons_doc_LAW_495706/f6758978b92339b7e996fde13e5104caec7531d2/" \l "dst9764"</w:instrText>
      </w:r>
      <w:r>
        <w:rPr>
          <w:rStyle w:val="Hyperlink"/>
          <w:smallCaps w:val="false"/>
          <w:caps w:val="false"/>
          <w:sz w:val="28"/>
          <w:spacing w:val="0"/>
          <w:i w:val="false"/>
          <w:u w:val="none"/>
          <w:b w:val="false"/>
          <w:shd w:fill="FFFFFF" w:val="clear"/>
          <w:szCs w:val="28"/>
          <w:rFonts w:ascii="Nimbus Roman" w:hAnsi="Nimbus Roman"/>
          <w:color w:val="000000"/>
        </w:rPr>
        <w:fldChar w:fldCharType="separate"/>
      </w:r>
      <w:r>
        <w:rPr>
          <w:rStyle w:val="Hyperlink"/>
          <w:rFonts w:ascii="Nimbus Roman" w:hAnsi="Nimbus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</w:rPr>
        <w:t>абзацем вторым пункта 10 статьи 378.2</w:t>
      </w:r>
      <w:r>
        <w:rPr>
          <w:rStyle w:val="Hyperlink"/>
          <w:smallCaps w:val="false"/>
          <w:caps w:val="false"/>
          <w:sz w:val="28"/>
          <w:spacing w:val="0"/>
          <w:i w:val="false"/>
          <w:u w:val="none"/>
          <w:b w:val="false"/>
          <w:shd w:fill="FFFFFF" w:val="clear"/>
          <w:szCs w:val="28"/>
          <w:rFonts w:ascii="Nimbus Roman" w:hAnsi="Nimbus Roman"/>
          <w:color w:val="000000"/>
        </w:rPr>
        <w:fldChar w:fldCharType="end"/>
      </w:r>
      <w:r>
        <w:rPr>
          <w:rFonts w:ascii="Nimbus Roman" w:hAnsi="Nimbus Roman"/>
          <w:caps w:val="false"/>
          <w:smallCaps w:val="false"/>
          <w:color w:val="000000"/>
          <w:spacing w:val="0"/>
          <w:sz w:val="28"/>
          <w:szCs w:val="28"/>
          <w:u w:val="none"/>
        </w:rPr>
        <w:t> Налогового Кодекса РФ</w:t>
      </w:r>
      <w:r>
        <w:rPr>
          <w:rFonts w:ascii="Nimbus Roman" w:hAnsi="Nimbus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;»;</w:t>
      </w:r>
    </w:p>
    <w:p>
      <w:pPr>
        <w:pStyle w:val="formattext"/>
        <w:spacing w:beforeAutospacing="0" w:before="0" w:afterAutospacing="0" w:after="0"/>
        <w:ind w:firstLine="480"/>
        <w:jc w:val="both"/>
        <w:rPr>
          <w:rFonts w:ascii="Nimbus Roman" w:hAnsi="Nimbus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</w:pPr>
      <w:r>
        <w:rPr>
          <w:rFonts w:ascii="Nimbus Roman" w:hAnsi="Nimbus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 xml:space="preserve">2) дополнить </w:t>
      </w:r>
      <w:r>
        <w:rPr>
          <w:rFonts w:ascii="Nimbus Roman" w:hAnsi="Nimbus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подпунктом 4.1</w:t>
      </w:r>
      <w:r>
        <w:rPr>
          <w:rFonts w:ascii="Nimbus Roman" w:hAnsi="Nimbus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 xml:space="preserve"> следующего содержания:</w:t>
      </w:r>
    </w:p>
    <w:p>
      <w:pPr>
        <w:pStyle w:val="formattext"/>
        <w:spacing w:beforeAutospacing="0" w:before="0" w:afterAutospacing="0" w:after="0"/>
        <w:ind w:firstLine="480"/>
        <w:jc w:val="both"/>
        <w:rPr>
          <w:rFonts w:ascii="Nimbus Roman" w:hAnsi="Nimbus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Nimbus Roman" w:hAnsi="Nimbus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 xml:space="preserve">«4.1) 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2,5 процента в отношении объектов налогообложения, кадастровая стоимость каждого из которых превышает 300 миллионов рублей, за исключением объектов незавершенного строительства, проектируемым назначением которых является многоквартирный дом;».</w:t>
      </w:r>
    </w:p>
    <w:p>
      <w:pPr>
        <w:pStyle w:val="Normal"/>
        <w:ind w:firstLine="567"/>
        <w:jc w:val="both"/>
        <w:rPr>
          <w:sz w:val="28"/>
        </w:rPr>
      </w:pPr>
      <w:r>
        <w:rPr>
          <w:sz w:val="28"/>
        </w:rPr>
        <w:t xml:space="preserve">2. Разместить настоящее решение на информационных стендах </w:t>
      </w:r>
      <w:r>
        <w:rPr>
          <w:rFonts w:cs="Arial"/>
          <w:sz w:val="28"/>
          <w:szCs w:val="28"/>
        </w:rPr>
        <w:t>Новобурундуковского</w:t>
      </w:r>
      <w:r>
        <w:rPr>
          <w:sz w:val="28"/>
        </w:rPr>
        <w:t xml:space="preserve"> сельского поселения, на сайте </w:t>
      </w:r>
      <w:r>
        <w:rPr>
          <w:rFonts w:cs="Arial"/>
          <w:sz w:val="28"/>
          <w:szCs w:val="28"/>
        </w:rPr>
        <w:t>Новобурундуковского</w:t>
      </w:r>
      <w:r>
        <w:rPr>
          <w:sz w:val="28"/>
        </w:rPr>
        <w:t xml:space="preserve"> сельского поселения, опубликовать в Официальном портале правовой информации Республики Татарстан.</w:t>
      </w:r>
    </w:p>
    <w:p>
      <w:pPr>
        <w:pStyle w:val="Normal"/>
        <w:ind w:firstLine="567"/>
        <w:jc w:val="both"/>
        <w:rPr>
          <w:sz w:val="28"/>
        </w:rPr>
      </w:pPr>
      <w:r>
        <w:rPr>
          <w:sz w:val="28"/>
        </w:rPr>
        <w:t>3. Настоящее решение вступает в силу со дня его официального опубликования и распространяется на правоотношения, возникшие с 1 января 2026 года.</w:t>
      </w:r>
    </w:p>
    <w:p>
      <w:pPr>
        <w:pStyle w:val="Normal"/>
        <w:ind w:firstLine="567"/>
        <w:jc w:val="both"/>
        <w:rPr>
          <w:sz w:val="28"/>
        </w:rPr>
      </w:pPr>
      <w:r>
        <w:rPr>
          <w:sz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cs="Arial"/>
          <w:sz w:val="28"/>
          <w:szCs w:val="28"/>
        </w:rPr>
        <w:t>Глава Новобурундуковского</w:t>
      </w:r>
    </w:p>
    <w:p>
      <w:pPr>
        <w:pStyle w:val="Title"/>
        <w:jc w:val="left"/>
        <w:rPr>
          <w:rFonts w:ascii="Times New Roman" w:hAnsi="Times New Roman"/>
          <w:sz w:val="28"/>
          <w:szCs w:val="28"/>
        </w:rPr>
      </w:pPr>
      <w:r>
        <w:rPr>
          <w:rFonts w:cs="Arial"/>
          <w:b w:val="false"/>
          <w:sz w:val="28"/>
          <w:szCs w:val="28"/>
        </w:rPr>
        <w:t>сельского поселения</w:t>
      </w:r>
      <w:r>
        <w:rPr>
          <w:rFonts w:cs="Arial"/>
          <w:b w:val="false"/>
          <w:bCs w:val="false"/>
          <w:sz w:val="28"/>
          <w:szCs w:val="28"/>
        </w:rPr>
        <w:t xml:space="preserve">:                                                                    В.Г. Ранцев </w:t>
      </w:r>
      <w:r>
        <w:rPr>
          <w:rFonts w:cs="Arial" w:ascii="Arial" w:hAnsi="Arial"/>
        </w:rPr>
        <w:tab/>
        <w:tab/>
      </w:r>
    </w:p>
    <w:sectPr>
      <w:type w:val="nextPage"/>
      <w:pgSz w:w="11906" w:h="16838"/>
      <w:pgMar w:left="1134" w:right="991" w:gutter="0" w:header="0" w:top="1134" w:footer="0" w:bottom="4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Calibri">
    <w:charset w:val="01"/>
    <w:family w:val="swiss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Nimbus Roman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80"/>
  <w:embedSystemFonts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116d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qFormat/>
    <w:rsid w:val="00e45142"/>
    <w:pPr>
      <w:keepNext w:val="true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qFormat/>
    <w:rsid w:val="00f116d8"/>
    <w:pPr>
      <w:keepNext w:val="true"/>
      <w:jc w:val="right"/>
      <w:outlineLvl w:val="1"/>
    </w:pPr>
    <w:rPr>
      <w:szCs w:val="20"/>
    </w:rPr>
  </w:style>
  <w:style w:type="paragraph" w:styleId="Heading7">
    <w:name w:val="heading 7"/>
    <w:basedOn w:val="Normal"/>
    <w:next w:val="Normal"/>
    <w:link w:val="7"/>
    <w:semiHidden/>
    <w:unhideWhenUsed/>
    <w:qFormat/>
    <w:rsid w:val="006f7d0d"/>
    <w:pPr>
      <w:spacing w:before="240" w:after="60"/>
      <w:outlineLvl w:val="6"/>
    </w:pPr>
    <w:rPr>
      <w:rFonts w:ascii="Calibri" w:hAnsi="Calibri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7" w:customStyle="1">
    <w:name w:val="Заголовок 7 Знак"/>
    <w:basedOn w:val="DefaultParagraphFont"/>
    <w:semiHidden/>
    <w:qFormat/>
    <w:rsid w:val="006f7d0d"/>
    <w:rPr>
      <w:rFonts w:ascii="Calibri" w:hAnsi="Calibri"/>
      <w:sz w:val="24"/>
      <w:szCs w:val="24"/>
    </w:rPr>
  </w:style>
  <w:style w:type="character" w:styleId="Style11" w:customStyle="1">
    <w:name w:val="Цветовое выделение"/>
    <w:qFormat/>
    <w:rsid w:val="00472e35"/>
    <w:rPr>
      <w:b/>
      <w:bCs/>
      <w:color w:val="000080"/>
      <w:sz w:val="22"/>
      <w:szCs w:val="22"/>
    </w:rPr>
  </w:style>
  <w:style w:type="character" w:styleId="Style12" w:customStyle="1">
    <w:name w:val="мф рт Знак"/>
    <w:basedOn w:val="DefaultParagraphFont"/>
    <w:link w:val="Style15"/>
    <w:qFormat/>
    <w:locked/>
    <w:rsid w:val="00d55e89"/>
    <w:rPr/>
  </w:style>
  <w:style w:type="character" w:styleId="match" w:customStyle="1">
    <w:name w:val="match"/>
    <w:basedOn w:val="DefaultParagraphFont"/>
    <w:qFormat/>
    <w:rsid w:val="00373c72"/>
    <w:rPr/>
  </w:style>
  <w:style w:type="character" w:styleId="Hyperlink">
    <w:name w:val="Hyperlink"/>
    <w:basedOn w:val="DefaultParagraphFont"/>
    <w:uiPriority w:val="99"/>
    <w:unhideWhenUsed/>
    <w:rsid w:val="00373c72"/>
    <w:rPr>
      <w:color w:val="0000FF"/>
      <w:u w:val="single"/>
    </w:rPr>
  </w:style>
  <w:style w:type="character" w:styleId="comment" w:customStyle="1">
    <w:name w:val="comment"/>
    <w:basedOn w:val="DefaultParagraphFont"/>
    <w:qFormat/>
    <w:rsid w:val="000777e8"/>
    <w:rPr/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DejaVu Sans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nformat" w:customStyle="1">
    <w:name w:val="ConsPlusNonformat"/>
    <w:qFormat/>
    <w:rsid w:val="00e45142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e45142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NoSpacing">
    <w:name w:val="No Spacing"/>
    <w:uiPriority w:val="1"/>
    <w:qFormat/>
    <w:rsid w:val="00472e35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headertext" w:customStyle="1">
    <w:name w:val="headertext"/>
    <w:basedOn w:val="Normal"/>
    <w:qFormat/>
    <w:rsid w:val="00a11e8a"/>
    <w:pPr>
      <w:spacing w:beforeAutospacing="1" w:afterAutospacing="1"/>
    </w:pPr>
    <w:rPr/>
  </w:style>
  <w:style w:type="paragraph" w:styleId="formattext" w:customStyle="1">
    <w:name w:val="formattext"/>
    <w:basedOn w:val="Normal"/>
    <w:qFormat/>
    <w:rsid w:val="00a11e8a"/>
    <w:pPr>
      <w:spacing w:beforeAutospacing="1" w:afterAutospacing="1"/>
    </w:pPr>
    <w:rPr/>
  </w:style>
  <w:style w:type="paragraph" w:styleId="Style15" w:customStyle="1">
    <w:name w:val="мф рт"/>
    <w:basedOn w:val="Normal"/>
    <w:link w:val="Style12"/>
    <w:qFormat/>
    <w:rsid w:val="00d55e89"/>
    <w:pPr/>
    <w:rPr>
      <w:sz w:val="20"/>
      <w:szCs w:val="20"/>
    </w:rPr>
  </w:style>
  <w:style w:type="paragraph" w:styleId="ConsPlusNormal" w:customStyle="1">
    <w:name w:val="ConsPlusNormal"/>
    <w:uiPriority w:val="99"/>
    <w:qFormat/>
    <w:rsid w:val="005c1181"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auto"/>
      <w:kern w:val="0"/>
      <w:sz w:val="20"/>
      <w:szCs w:val="20"/>
      <w:lang w:val="ru-RU" w:eastAsia="en-US" w:bidi="ar-SA"/>
    </w:rPr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Style16">
    <w:name w:val="Содержимое врезки"/>
    <w:basedOn w:val="Normal"/>
    <w:qFormat/>
    <w:pPr/>
    <w:rPr/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3F250-450B-43CB-A369-B25953EF6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Application>LibreOffice/24.8.4.2$Linux_X86_64 LibreOffice_project/480$Build-2</Application>
  <AppVersion>15.0000</AppVersion>
  <Pages>1</Pages>
  <Words>242</Words>
  <Characters>1743</Characters>
  <CharactersWithSpaces>2113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2024-12-09T08:18:00Z</dcterms:created>
  <dc:creator>начальник отдела</dc:creator>
  <dc:description/>
  <dc:language>ru-RU</dc:language>
  <cp:lastModifiedBy/>
  <cp:lastPrinted>2026-02-05T10:14:29Z</cp:lastPrinted>
  <dcterms:modified xsi:type="dcterms:W3CDTF">2026-02-02T14:40:22Z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