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DA766B" w:rsidRDefault="00E638DB" w:rsidP="00DA766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FD5BC4" w:rsidRPr="007344F8" w:rsidTr="00EA66BD">
        <w:trPr>
          <w:trHeight w:val="2127"/>
        </w:trPr>
        <w:tc>
          <w:tcPr>
            <w:tcW w:w="4407" w:type="dxa"/>
            <w:hideMark/>
          </w:tcPr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>
              <w:t>НОВОБУРУНДУКОВСКОГО</w:t>
            </w:r>
            <w:r w:rsidRPr="005B73D2">
              <w:t xml:space="preserve"> СЕЛЬСКОГО ПОСЕЛЕНИЯ ДРОЖЖАНОВСКОГО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МУНИЦИПАЛЬНОГО РАЙОНА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РЕСПУБЛИКИ ТАТАРСТАН</w:t>
            </w:r>
          </w:p>
        </w:tc>
        <w:tc>
          <w:tcPr>
            <w:tcW w:w="1439" w:type="dxa"/>
          </w:tcPr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ТАТАРСТАН РЕСПУБЛИКАСЫ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 xml:space="preserve"> ЧҮПРӘЛЕ </w:t>
            </w:r>
          </w:p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МУНИЦИПАЛЬ РАЙОНЫ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</w:pPr>
            <w:r w:rsidRPr="005B73D2">
              <w:t xml:space="preserve"> </w:t>
            </w:r>
            <w:r>
              <w:rPr>
                <w:caps/>
                <w:noProof/>
                <w:color w:val="000000"/>
                <w:lang w:val="tt-RU"/>
              </w:rPr>
              <w:t>Я</w:t>
            </w:r>
            <w:r w:rsidRPr="00E9012E">
              <w:rPr>
                <w:lang w:val="tt-RU"/>
              </w:rPr>
              <w:t>Ң</w:t>
            </w:r>
            <w:r>
              <w:rPr>
                <w:lang w:val="tt-RU"/>
              </w:rPr>
              <w:t>А БОРЫНДЫК</w:t>
            </w:r>
            <w:r w:rsidRPr="005B73D2">
              <w:rPr>
                <w:lang w:val="tt-RU"/>
              </w:rPr>
              <w:t xml:space="preserve"> АВЫЛ ҖИРЛЕГЕ</w:t>
            </w:r>
            <w:r w:rsidRPr="005B73D2">
              <w:t xml:space="preserve"> БАШ</w:t>
            </w:r>
            <w:r>
              <w:t>ЛЫГЫ</w:t>
            </w:r>
          </w:p>
          <w:p w:rsidR="00FD5BC4" w:rsidRPr="00880247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</w:pPr>
          </w:p>
        </w:tc>
      </w:tr>
      <w:tr w:rsidR="00FD5BC4" w:rsidRPr="009A3A51" w:rsidTr="00EA66BD">
        <w:trPr>
          <w:trHeight w:val="801"/>
        </w:trPr>
        <w:tc>
          <w:tcPr>
            <w:tcW w:w="10013" w:type="dxa"/>
            <w:gridSpan w:val="3"/>
          </w:tcPr>
          <w:p w:rsidR="00FD5BC4" w:rsidRPr="00FF494F" w:rsidRDefault="00FD5BC4" w:rsidP="00EA66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lang w:val="en-US"/>
              </w:rPr>
            </w:pPr>
            <w:r w:rsidRPr="00FF494F">
              <w:rPr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lang w:val="en-US"/>
              </w:rPr>
              <w:t>Nbur</w:t>
            </w:r>
            <w:r w:rsidRPr="00FF494F">
              <w:rPr>
                <w:lang w:val="tt-RU"/>
              </w:rPr>
              <w:t xml:space="preserve"> -drogganoe.tatarstan.ru </w:t>
            </w:r>
            <w:r w:rsidR="00F00F63">
              <w:pict>
                <v:rect id="_x0000_i1025" style="width:467.75pt;height:1.5pt" o:hralign="center" o:hrstd="t" o:hrnoshade="t" o:hr="t" fillcolor="black" stroked="f"/>
              </w:pict>
            </w:r>
          </w:p>
          <w:p w:rsidR="00FD5BC4" w:rsidRPr="008B2ECD" w:rsidRDefault="00FD5BC4" w:rsidP="00EA66BD">
            <w:pPr>
              <w:tabs>
                <w:tab w:val="left" w:pos="3780"/>
              </w:tabs>
              <w:rPr>
                <w:lang w:val="en-US"/>
              </w:rPr>
            </w:pPr>
          </w:p>
        </w:tc>
      </w:tr>
    </w:tbl>
    <w:p w:rsidR="00FD5BC4" w:rsidRDefault="00FD5BC4" w:rsidP="00FD5BC4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</w:rPr>
        <w:t>КАРАР</w:t>
      </w:r>
    </w:p>
    <w:p w:rsidR="00FD5BC4" w:rsidRDefault="00FD5BC4" w:rsidP="00FD5BC4">
      <w:pPr>
        <w:widowControl w:val="0"/>
        <w:autoSpaceDE w:val="0"/>
        <w:autoSpaceDN w:val="0"/>
        <w:adjustRightInd w:val="0"/>
        <w:spacing w:after="60"/>
        <w:jc w:val="center"/>
      </w:pPr>
      <w:r>
        <w:t>п.ж.-д.ст. Бурундуки</w:t>
      </w:r>
    </w:p>
    <w:p w:rsidR="00FD5BC4" w:rsidRPr="009D35AA" w:rsidRDefault="009A3A51" w:rsidP="00FD5BC4">
      <w:pPr>
        <w:jc w:val="both"/>
        <w:rPr>
          <w:sz w:val="28"/>
          <w:szCs w:val="28"/>
        </w:rPr>
      </w:pPr>
      <w:r>
        <w:rPr>
          <w:sz w:val="28"/>
          <w:szCs w:val="28"/>
        </w:rPr>
        <w:t>30.10</w:t>
      </w:r>
      <w:r w:rsidR="00FD5B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FD5BC4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>
        <w:rPr>
          <w:sz w:val="28"/>
          <w:szCs w:val="28"/>
        </w:rPr>
        <w:t xml:space="preserve"> 5</w:t>
      </w:r>
    </w:p>
    <w:p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9A3A51">
        <w:rPr>
          <w:bCs/>
          <w:color w:val="000000"/>
          <w:sz w:val="28"/>
          <w:szCs w:val="28"/>
        </w:rPr>
        <w:t>4</w:t>
      </w:r>
      <w:r w:rsidRPr="00DA766B">
        <w:rPr>
          <w:bCs/>
          <w:color w:val="000000"/>
          <w:sz w:val="28"/>
          <w:szCs w:val="28"/>
        </w:rPr>
        <w:t xml:space="preserve"> год</w:t>
      </w:r>
    </w:p>
    <w:p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DA766B" w:rsidRPr="00DA766B">
        <w:rPr>
          <w:sz w:val="28"/>
          <w:szCs w:val="28"/>
          <w:shd w:val="clear" w:color="auto" w:fill="FFFFFF"/>
        </w:rPr>
        <w:t xml:space="preserve">Совета </w:t>
      </w:r>
      <w:r w:rsidR="00FD5BC4" w:rsidRPr="004A209E">
        <w:rPr>
          <w:sz w:val="28"/>
        </w:rPr>
        <w:t>Новобурундуковского</w:t>
      </w:r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FD5BC4">
        <w:rPr>
          <w:sz w:val="28"/>
          <w:szCs w:val="28"/>
        </w:rPr>
        <w:t>20.12.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FD5BC4">
        <w:rPr>
          <w:sz w:val="28"/>
          <w:szCs w:val="28"/>
          <w:shd w:val="clear" w:color="auto" w:fill="FFFFFF"/>
        </w:rPr>
        <w:t>17/4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 xml:space="preserve">Об осуществлении муниципального контроля в сфере благоустройства на территории </w:t>
      </w:r>
      <w:r w:rsidR="00FD5BC4" w:rsidRPr="004A209E">
        <w:rPr>
          <w:sz w:val="28"/>
        </w:rPr>
        <w:t>Новобурундуковского</w:t>
      </w:r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DA766B">
        <w:rPr>
          <w:sz w:val="28"/>
          <w:szCs w:val="28"/>
        </w:rPr>
        <w:t xml:space="preserve">», </w:t>
      </w:r>
      <w:r w:rsidR="00DA766B" w:rsidRPr="00DA766B">
        <w:rPr>
          <w:color w:val="000000"/>
          <w:sz w:val="28"/>
          <w:szCs w:val="28"/>
        </w:rPr>
        <w:t xml:space="preserve">Исполнительный комитет </w:t>
      </w:r>
      <w:r w:rsidR="00FD5BC4" w:rsidRPr="004A209E">
        <w:rPr>
          <w:sz w:val="28"/>
        </w:rPr>
        <w:t>Новобурундуковского</w:t>
      </w:r>
      <w:r w:rsidRPr="00DA766B">
        <w:rPr>
          <w:color w:val="000000"/>
          <w:sz w:val="28"/>
          <w:szCs w:val="28"/>
        </w:rPr>
        <w:t xml:space="preserve"> сельского поселения</w:t>
      </w:r>
      <w:r w:rsidR="00DA766B" w:rsidRPr="00DA766B">
        <w:rPr>
          <w:color w:val="000000"/>
          <w:sz w:val="28"/>
          <w:szCs w:val="28"/>
        </w:rPr>
        <w:t xml:space="preserve"> ПОСТАНОВЛЯЕТ</w:t>
      </w:r>
      <w:r w:rsidRPr="00DA766B">
        <w:rPr>
          <w:color w:val="000000"/>
          <w:sz w:val="28"/>
          <w:szCs w:val="28"/>
        </w:rPr>
        <w:t>: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9A3A51">
        <w:rPr>
          <w:color w:val="000000"/>
          <w:sz w:val="28"/>
          <w:szCs w:val="28"/>
          <w:shd w:val="clear" w:color="auto" w:fill="FFFFFF"/>
        </w:rPr>
        <w:t>4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год, согласно </w:t>
      </w:r>
      <w:r w:rsidR="00FD5BC4" w:rsidRPr="00DA766B">
        <w:rPr>
          <w:color w:val="000000"/>
          <w:sz w:val="28"/>
          <w:szCs w:val="28"/>
          <w:shd w:val="clear" w:color="auto" w:fill="FFFFFF"/>
        </w:rPr>
        <w:t>приложению,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</w:t>
      </w:r>
      <w:r w:rsidR="009A3A51">
        <w:rPr>
          <w:color w:val="000000"/>
          <w:sz w:val="28"/>
          <w:szCs w:val="28"/>
          <w:shd w:val="clear" w:color="auto" w:fill="FFFFFF"/>
        </w:rPr>
        <w:t>4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:rsidR="00FD5BC4" w:rsidRDefault="00FD5BC4" w:rsidP="00FD5BC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78575C" w:rsidRPr="00DA766B" w:rsidRDefault="00FD5BC4" w:rsidP="00FD5BC4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В.Г. Ранцев</w:t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</w:p>
    <w:p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:rsidR="0078575C" w:rsidRPr="00DA766B" w:rsidRDefault="0078575C" w:rsidP="00DA766B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lastRenderedPageBreak/>
        <w:t>Приложение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>к постановлению</w:t>
      </w:r>
    </w:p>
    <w:p w:rsidR="00974935" w:rsidRDefault="00DA766B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 w:rsidR="0078575C" w:rsidRPr="00DA766B" w:rsidRDefault="00974935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4A209E">
        <w:rPr>
          <w:sz w:val="28"/>
        </w:rPr>
        <w:t>Новобурундуковского</w:t>
      </w:r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от </w:t>
      </w:r>
      <w:r w:rsidR="009A3A51">
        <w:rPr>
          <w:color w:val="000000"/>
          <w:sz w:val="28"/>
          <w:szCs w:val="28"/>
        </w:rPr>
        <w:t>30</w:t>
      </w:r>
      <w:r w:rsidR="00974935">
        <w:rPr>
          <w:color w:val="000000"/>
          <w:sz w:val="28"/>
          <w:szCs w:val="28"/>
        </w:rPr>
        <w:t xml:space="preserve"> </w:t>
      </w:r>
      <w:r w:rsidR="009A3A51">
        <w:rPr>
          <w:color w:val="000000"/>
          <w:sz w:val="28"/>
          <w:szCs w:val="28"/>
        </w:rPr>
        <w:t>октяб</w:t>
      </w:r>
      <w:r w:rsidR="00974935">
        <w:rPr>
          <w:color w:val="000000"/>
          <w:sz w:val="28"/>
          <w:szCs w:val="28"/>
        </w:rPr>
        <w:t>ря 202</w:t>
      </w:r>
      <w:r w:rsidR="009A3A51">
        <w:rPr>
          <w:color w:val="000000"/>
          <w:sz w:val="28"/>
          <w:szCs w:val="28"/>
        </w:rPr>
        <w:t>3</w:t>
      </w:r>
      <w:r w:rsidR="00974935">
        <w:rPr>
          <w:color w:val="000000"/>
          <w:sz w:val="28"/>
          <w:szCs w:val="28"/>
        </w:rPr>
        <w:t xml:space="preserve"> г. </w:t>
      </w:r>
      <w:r w:rsidRPr="00DA766B">
        <w:rPr>
          <w:color w:val="000000"/>
          <w:sz w:val="28"/>
          <w:szCs w:val="28"/>
        </w:rPr>
        <w:t>№</w:t>
      </w:r>
      <w:r w:rsidR="009A3A51">
        <w:rPr>
          <w:color w:val="000000"/>
          <w:sz w:val="28"/>
          <w:szCs w:val="28"/>
        </w:rPr>
        <w:t>5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5179DB" w:rsidRDefault="0078575C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 w:rsidR="009A3A51">
        <w:rPr>
          <w:b/>
          <w:bCs/>
          <w:color w:val="000000"/>
          <w:sz w:val="28"/>
          <w:szCs w:val="28"/>
          <w:shd w:val="clear" w:color="auto" w:fill="FFFFFF"/>
        </w:rPr>
        <w:t>4</w:t>
      </w: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72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6"/>
        <w:gridCol w:w="1035"/>
        <w:gridCol w:w="1579"/>
        <w:gridCol w:w="1545"/>
        <w:gridCol w:w="2722"/>
        <w:gridCol w:w="5358"/>
      </w:tblGrid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right"/>
            </w:pPr>
            <w:r w:rsidRPr="00ED55B6">
              <w:rPr>
                <w:color w:val="000000"/>
                <w:shd w:val="clear" w:color="auto" w:fill="FFFFFF"/>
              </w:rPr>
              <w:t>А</w:t>
            </w:r>
            <w:r w:rsidRPr="00ED55B6">
              <w:t xml:space="preserve">нализ текущего состояния осуществления </w:t>
            </w:r>
            <w:r w:rsidRPr="00ED55B6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1.1. Программа профилактики </w:t>
            </w:r>
            <w:r w:rsidRPr="00ED55B6">
              <w:rPr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676B20">
              <w:rPr>
                <w:color w:val="000000"/>
                <w:shd w:val="clear" w:color="auto" w:fill="FFFFFF"/>
              </w:rPr>
              <w:t xml:space="preserve">4 </w:t>
            </w:r>
            <w:r w:rsidRPr="00ED55B6">
              <w:rPr>
                <w:color w:val="000000"/>
                <w:shd w:val="clear" w:color="auto" w:fill="FFFFFF"/>
              </w:rPr>
              <w:t>год</w:t>
            </w:r>
            <w:r w:rsidRPr="00ED55B6"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974935" w:rsidRPr="00ED55B6">
              <w:t xml:space="preserve">Новобурундуковского </w:t>
            </w:r>
            <w:r w:rsidRPr="00ED55B6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поселения, разработана в целях организации осуществления </w:t>
            </w:r>
            <w:r w:rsidR="00DA766B" w:rsidRPr="00ED55B6">
              <w:t xml:space="preserve">Исполнительным комитетом </w:t>
            </w:r>
            <w:r w:rsidR="00974935" w:rsidRPr="00ED55B6">
              <w:t>Новобурундуковского</w:t>
            </w:r>
            <w:r w:rsidR="00DA766B" w:rsidRPr="00ED55B6">
              <w:t xml:space="preserve"> сельского поселения </w:t>
            </w:r>
            <w:r w:rsidRPr="00ED55B6"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 w:rsidRPr="00ED55B6">
              <w:t>Республики Татарстан</w:t>
            </w:r>
            <w:r w:rsidRPr="00ED55B6"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и муниципальных нормативных </w:t>
            </w:r>
            <w:r w:rsidRPr="00ED55B6">
              <w:lastRenderedPageBreak/>
              <w:t xml:space="preserve">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поселения. 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ED55B6">
              <w:t xml:space="preserve">Исполнительный комитет </w:t>
            </w:r>
            <w:r w:rsidR="00974935" w:rsidRPr="00ED55B6">
              <w:t>Новобурундуковского</w:t>
            </w:r>
            <w:r w:rsidR="00DA766B" w:rsidRPr="00ED55B6">
              <w:t xml:space="preserve"> сельского </w:t>
            </w:r>
            <w:r w:rsidRPr="00ED55B6">
              <w:t xml:space="preserve">поселения.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1.4. Субъектами профилактических мероприятий в рамках Программы являются граждане и организации, деятельность, действия или </w:t>
            </w:r>
            <w:r w:rsidR="00974935" w:rsidRPr="00ED55B6">
              <w:t>результаты деятельности,</w:t>
            </w:r>
            <w:r w:rsidRPr="00ED55B6">
              <w:t xml:space="preserve">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02.05.2006 N 59-ФЗ "О порядке рассмотрения обращений граждан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- Кодексом </w:t>
            </w:r>
            <w:r w:rsidR="00DA766B" w:rsidRPr="00ED55B6">
              <w:t>Республики Татарстан</w:t>
            </w:r>
            <w:r w:rsidRPr="00ED55B6">
              <w:t xml:space="preserve"> об административной ответственности;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- Правилами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поселения, утвержденными решением </w:t>
            </w:r>
            <w:r w:rsidR="00DA766B" w:rsidRPr="00ED55B6">
              <w:t xml:space="preserve">Совета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от </w:t>
            </w:r>
            <w:r w:rsidR="00974935" w:rsidRPr="00ED55B6">
              <w:t xml:space="preserve">20.12.2021 </w:t>
            </w:r>
            <w:r w:rsidRPr="00ED55B6">
              <w:t>г. №</w:t>
            </w:r>
            <w:r w:rsidR="00974935" w:rsidRPr="00ED55B6">
              <w:t>17/4</w:t>
            </w:r>
            <w:r w:rsidRPr="00ED55B6">
              <w:t>.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1.6. Плановых проверок в отношении граждан и организаций в 202</w:t>
            </w:r>
            <w:r w:rsidR="00E42B79">
              <w:t>3</w:t>
            </w:r>
            <w:r w:rsidRPr="00ED55B6"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B73456" w:rsidRPr="00ED55B6">
              <w:t>Новобурундуковского</w:t>
            </w:r>
            <w:r w:rsidR="009E0C07" w:rsidRPr="00ED55B6">
              <w:t xml:space="preserve"> </w:t>
            </w:r>
            <w:r w:rsidRPr="00ED55B6">
              <w:t xml:space="preserve">сельского поселения официального сайта </w:t>
            </w:r>
            <w:r w:rsidR="00E93E75" w:rsidRPr="00ED55B6">
              <w:t xml:space="preserve">Дрожжановского </w:t>
            </w:r>
            <w:r w:rsidRPr="00ED55B6">
              <w:t xml:space="preserve">муниципального района размещены Правила благоустройства территории </w:t>
            </w:r>
            <w:r w:rsidR="00B73456" w:rsidRPr="00ED55B6">
              <w:t xml:space="preserve">Новобурундуковского </w:t>
            </w:r>
            <w:r w:rsidRPr="00ED55B6">
              <w:t xml:space="preserve">сельского поселения.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lastRenderedPageBreak/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B73456" w:rsidRPr="00ED55B6">
              <w:t>Новобурундуковского</w:t>
            </w:r>
            <w:r w:rsidRPr="00ED55B6"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 xml:space="preserve">Описание текущего развития профилактической деятельности </w:t>
            </w:r>
            <w:r w:rsidR="00E93E75" w:rsidRPr="00ED55B6">
              <w:t>Исполнительного комитета</w:t>
            </w:r>
            <w:r w:rsidR="00492EB2" w:rsidRPr="00ED55B6">
              <w:t xml:space="preserve"> Новобурундуковского</w:t>
            </w:r>
            <w:r w:rsidR="00E93E75" w:rsidRPr="00ED55B6">
              <w:t xml:space="preserve"> сельского поселения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B73456" w:rsidRPr="00ED55B6">
              <w:rPr>
                <w:sz w:val="24"/>
                <w:szCs w:val="24"/>
              </w:rPr>
              <w:t>Новобурундуковского сельского поселения,</w:t>
            </w:r>
            <w:r w:rsidRPr="00ED55B6">
              <w:rPr>
                <w:sz w:val="24"/>
                <w:szCs w:val="24"/>
              </w:rPr>
              <w:t xml:space="preserve"> осуществляется: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территории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sz w:val="24"/>
                <w:szCs w:val="24"/>
              </w:rPr>
              <w:t xml:space="preserve"> сельского поселения, посредством официального сайта </w:t>
            </w:r>
            <w:r w:rsidR="00E93E75" w:rsidRPr="00ED55B6">
              <w:rPr>
                <w:sz w:val="24"/>
                <w:szCs w:val="24"/>
              </w:rPr>
              <w:t>Дрожжановского</w:t>
            </w:r>
            <w:r w:rsidRPr="00ED55B6">
              <w:rPr>
                <w:sz w:val="24"/>
                <w:szCs w:val="24"/>
              </w:rPr>
              <w:t xml:space="preserve"> муниципального района, публикации в периодических изданиях, социальных сетей;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sz w:val="24"/>
                <w:szCs w:val="24"/>
              </w:rPr>
              <w:t xml:space="preserve"> сельского поселения;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1.3.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shd w:val="clear" w:color="auto" w:fill="FFFFFF"/>
              <w:ind w:firstLine="291"/>
            </w:pPr>
            <w:r w:rsidRPr="00ED55B6">
              <w:t>Причинами нарушений обязательных требований в сфере благоустройства являются: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</w:pPr>
            <w:r w:rsidRPr="00ED55B6"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  <w:jc w:val="both"/>
            </w:pPr>
            <w:r w:rsidRPr="00ED55B6"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</w:rPr>
            </w:pPr>
            <w:r w:rsidRPr="00ED55B6"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II. Ц</w:t>
            </w:r>
            <w:r w:rsidRPr="00ED55B6"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Цели реализации программы профилактики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Задачи реализации программы профилактики</w:t>
            </w:r>
          </w:p>
          <w:p w:rsidR="0078575C" w:rsidRPr="00ED55B6" w:rsidRDefault="0078575C" w:rsidP="00E93E75">
            <w:pPr>
              <w:jc w:val="center"/>
            </w:pP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8575C" w:rsidRPr="00ED55B6" w:rsidRDefault="0078575C" w:rsidP="00E93E75">
            <w:pPr>
              <w:ind w:firstLine="291"/>
              <w:jc w:val="both"/>
              <w:rPr>
                <w:color w:val="000000"/>
                <w:shd w:val="clear" w:color="auto" w:fill="FFFFFF"/>
              </w:rPr>
            </w:pPr>
            <w:r w:rsidRPr="00ED55B6">
              <w:rPr>
                <w:color w:val="000000"/>
                <w:shd w:val="clear" w:color="auto" w:fill="FFFFFF"/>
              </w:rPr>
              <w:t xml:space="preserve">6. Обеспечение единообразных подходов к применению </w:t>
            </w:r>
            <w:r w:rsidR="00E93E75" w:rsidRPr="00ED55B6">
              <w:rPr>
                <w:color w:val="000000"/>
                <w:shd w:val="clear" w:color="auto" w:fill="FFFFFF"/>
              </w:rPr>
              <w:t xml:space="preserve">Исполнительным комитетом </w:t>
            </w:r>
            <w:r w:rsidRPr="00ED55B6">
              <w:rPr>
                <w:color w:val="000000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ED55B6" w:rsidRDefault="0078575C" w:rsidP="00E93E75">
            <w:pPr>
              <w:ind w:firstLine="291"/>
              <w:jc w:val="both"/>
              <w:rPr>
                <w:color w:val="000000"/>
                <w:shd w:val="clear" w:color="auto" w:fill="FFFFFF"/>
              </w:rPr>
            </w:pPr>
          </w:p>
          <w:p w:rsidR="0078575C" w:rsidRPr="00ED55B6" w:rsidRDefault="0078575C" w:rsidP="00E93E75">
            <w:pPr>
              <w:ind w:firstLine="291"/>
              <w:jc w:val="both"/>
            </w:pPr>
          </w:p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ind w:firstLine="709"/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III. П</w:t>
            </w:r>
            <w:r w:rsidRPr="00ED55B6"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Наименование мероприятия</w:t>
            </w:r>
          </w:p>
          <w:p w:rsidR="0078575C" w:rsidRPr="00ED55B6" w:rsidRDefault="0078575C" w:rsidP="00DA766B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Срок (периодичность)</w:t>
            </w:r>
          </w:p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исполнения</w:t>
            </w:r>
          </w:p>
        </w:tc>
        <w:tc>
          <w:tcPr>
            <w:tcW w:w="5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rPr>
                <w:i/>
                <w:iCs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E93E75" w:rsidP="00E93E75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Секретарь Исполнительного комитета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="00492EB2"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shd w:val="clear" w:color="auto" w:fill="FFFFFF"/>
              </w:rPr>
              <w:t>К</w:t>
            </w:r>
            <w:r w:rsidRPr="00ED55B6">
              <w:rPr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</w:p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E93E75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Секретарь Исполнительного комитета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1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В устной форме (</w:t>
            </w:r>
            <w:r w:rsidRPr="00ED55B6">
              <w:rPr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DA766B">
            <w:pPr>
              <w:ind w:firstLine="709"/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IV. П</w:t>
            </w:r>
            <w:r w:rsidRPr="00ED55B6"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6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6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ED55B6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ED55B6">
      <w:pgSz w:w="16838" w:h="11906" w:orient="landscape"/>
      <w:pgMar w:top="1276" w:right="962" w:bottom="170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63" w:rsidRDefault="00F00F63">
      <w:r>
        <w:separator/>
      </w:r>
    </w:p>
  </w:endnote>
  <w:endnote w:type="continuationSeparator" w:id="0">
    <w:p w:rsidR="00F00F63" w:rsidRDefault="00F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63" w:rsidRDefault="00F00F63">
      <w:r>
        <w:separator/>
      </w:r>
    </w:p>
  </w:footnote>
  <w:footnote w:type="continuationSeparator" w:id="0">
    <w:p w:rsidR="00F00F63" w:rsidRDefault="00F0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1F348A"/>
    <w:rsid w:val="00217E1D"/>
    <w:rsid w:val="00342351"/>
    <w:rsid w:val="0037294D"/>
    <w:rsid w:val="00386543"/>
    <w:rsid w:val="003A17D2"/>
    <w:rsid w:val="003C0130"/>
    <w:rsid w:val="003C281D"/>
    <w:rsid w:val="0042288A"/>
    <w:rsid w:val="00425256"/>
    <w:rsid w:val="0049026F"/>
    <w:rsid w:val="00492EB2"/>
    <w:rsid w:val="004C1E90"/>
    <w:rsid w:val="00515CFE"/>
    <w:rsid w:val="005179DB"/>
    <w:rsid w:val="005D2977"/>
    <w:rsid w:val="006655BF"/>
    <w:rsid w:val="00676B20"/>
    <w:rsid w:val="00691828"/>
    <w:rsid w:val="00691933"/>
    <w:rsid w:val="006B2F2A"/>
    <w:rsid w:val="0071593B"/>
    <w:rsid w:val="0078575C"/>
    <w:rsid w:val="007C0E66"/>
    <w:rsid w:val="00844412"/>
    <w:rsid w:val="0088264C"/>
    <w:rsid w:val="00906ADF"/>
    <w:rsid w:val="00974935"/>
    <w:rsid w:val="009A3A51"/>
    <w:rsid w:val="009D35AA"/>
    <w:rsid w:val="009E0C07"/>
    <w:rsid w:val="00A54C7E"/>
    <w:rsid w:val="00A83849"/>
    <w:rsid w:val="00A93861"/>
    <w:rsid w:val="00AB007D"/>
    <w:rsid w:val="00B14C75"/>
    <w:rsid w:val="00B73456"/>
    <w:rsid w:val="00BB74C3"/>
    <w:rsid w:val="00CD7997"/>
    <w:rsid w:val="00D7481B"/>
    <w:rsid w:val="00DA766B"/>
    <w:rsid w:val="00DB70DF"/>
    <w:rsid w:val="00DE4971"/>
    <w:rsid w:val="00E079C3"/>
    <w:rsid w:val="00E42B79"/>
    <w:rsid w:val="00E638DB"/>
    <w:rsid w:val="00E93E75"/>
    <w:rsid w:val="00EC5E79"/>
    <w:rsid w:val="00ED55B6"/>
    <w:rsid w:val="00EF370F"/>
    <w:rsid w:val="00F00F63"/>
    <w:rsid w:val="00F079E5"/>
    <w:rsid w:val="00F9569D"/>
    <w:rsid w:val="00FA3FBE"/>
    <w:rsid w:val="00FD5BC4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5454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No Spacing"/>
    <w:uiPriority w:val="1"/>
    <w:qFormat/>
    <w:rsid w:val="00FD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17</cp:revision>
  <cp:lastPrinted>2023-10-30T11:25:00Z</cp:lastPrinted>
  <dcterms:created xsi:type="dcterms:W3CDTF">2021-12-16T06:12:00Z</dcterms:created>
  <dcterms:modified xsi:type="dcterms:W3CDTF">2023-10-30T11:26:00Z</dcterms:modified>
</cp:coreProperties>
</file>